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6F45D" w14:textId="4BE2AB88" w:rsidR="00822EA8" w:rsidRPr="00822EA8" w:rsidRDefault="00B23756" w:rsidP="00822EA8">
      <w:pPr>
        <w:shd w:val="clear" w:color="auto" w:fill="FFFFFF"/>
        <w:spacing w:after="0" w:line="240" w:lineRule="auto"/>
        <w:jc w:val="center"/>
        <w:rPr>
          <w:rFonts w:ascii="Segoe UI" w:eastAsia="Times New Roman" w:hAnsi="Segoe UI" w:cs="Segoe UI"/>
          <w:color w:val="242424"/>
          <w:sz w:val="23"/>
          <w:szCs w:val="23"/>
        </w:rPr>
      </w:pPr>
      <w:r>
        <w:rPr>
          <w:rFonts w:ascii="Arial" w:eastAsia="Times New Roman" w:hAnsi="Arial" w:cs="Arial"/>
          <w:b/>
          <w:bCs/>
          <w:color w:val="000000"/>
          <w:sz w:val="28"/>
          <w:szCs w:val="28"/>
          <w:bdr w:val="none" w:sz="0" w:space="0" w:color="auto" w:frame="1"/>
        </w:rPr>
        <w:t>Davis &amp; Elkins</w:t>
      </w:r>
      <w:r w:rsidR="00822EA8" w:rsidRPr="00822EA8">
        <w:rPr>
          <w:rFonts w:ascii="Arial" w:eastAsia="Times New Roman" w:hAnsi="Arial" w:cs="Arial"/>
          <w:b/>
          <w:bCs/>
          <w:color w:val="000000"/>
          <w:sz w:val="28"/>
          <w:szCs w:val="28"/>
          <w:bdr w:val="none" w:sz="0" w:space="0" w:color="auto" w:frame="1"/>
        </w:rPr>
        <w:t xml:space="preserve"> College</w:t>
      </w:r>
    </w:p>
    <w:p w14:paraId="56296E99" w14:textId="77777777" w:rsidR="00822EA8" w:rsidRPr="00822EA8" w:rsidRDefault="00822EA8" w:rsidP="00822EA8">
      <w:pPr>
        <w:shd w:val="clear" w:color="auto" w:fill="FFFFFF"/>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b/>
          <w:bCs/>
          <w:color w:val="000000"/>
          <w:sz w:val="28"/>
          <w:szCs w:val="28"/>
          <w:bdr w:val="none" w:sz="0" w:space="0" w:color="auto" w:frame="1"/>
        </w:rPr>
        <w:t>Campus Hazing Transparency Report</w:t>
      </w:r>
    </w:p>
    <w:p w14:paraId="0E84C31E"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t> </w:t>
      </w:r>
    </w:p>
    <w:p w14:paraId="163E2015" w14:textId="45C25813"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 xml:space="preserve">Pursuant to the Stop Campus Hazing Act, </w:t>
      </w:r>
      <w:r w:rsidR="00B23756">
        <w:rPr>
          <w:rFonts w:ascii="Arial" w:eastAsia="Times New Roman" w:hAnsi="Arial" w:cs="Arial"/>
          <w:color w:val="000000"/>
          <w:sz w:val="24"/>
          <w:szCs w:val="24"/>
          <w:bdr w:val="none" w:sz="0" w:space="0" w:color="auto" w:frame="1"/>
          <w:shd w:val="clear" w:color="auto" w:fill="FFFFFF"/>
        </w:rPr>
        <w:t xml:space="preserve">Davis &amp; Elkins College </w:t>
      </w:r>
      <w:r w:rsidRPr="00822EA8">
        <w:rPr>
          <w:rFonts w:ascii="Arial" w:eastAsia="Times New Roman" w:hAnsi="Arial" w:cs="Arial"/>
          <w:color w:val="000000"/>
          <w:sz w:val="24"/>
          <w:szCs w:val="24"/>
          <w:bdr w:val="none" w:sz="0" w:space="0" w:color="auto" w:frame="1"/>
          <w:shd w:val="clear" w:color="auto" w:fill="FFFFFF"/>
        </w:rPr>
        <w:t>(</w:t>
      </w:r>
      <w:r w:rsidR="00B23756">
        <w:rPr>
          <w:rFonts w:ascii="Arial" w:eastAsia="Times New Roman" w:hAnsi="Arial" w:cs="Arial"/>
          <w:color w:val="000000"/>
          <w:sz w:val="24"/>
          <w:szCs w:val="24"/>
          <w:bdr w:val="none" w:sz="0" w:space="0" w:color="auto" w:frame="1"/>
          <w:shd w:val="clear" w:color="auto" w:fill="FFFFFF"/>
        </w:rPr>
        <w:t>D&amp;E</w:t>
      </w:r>
      <w:r w:rsidRPr="00822EA8">
        <w:rPr>
          <w:rFonts w:ascii="Arial" w:eastAsia="Times New Roman" w:hAnsi="Arial" w:cs="Arial"/>
          <w:color w:val="000000"/>
          <w:sz w:val="24"/>
          <w:szCs w:val="24"/>
          <w:bdr w:val="none" w:sz="0" w:space="0" w:color="auto" w:frame="1"/>
          <w:shd w:val="clear" w:color="auto" w:fill="FFFFFF"/>
        </w:rPr>
        <w:t xml:space="preserve">) provides biannual updates summarizing findings related to hazing. Pursuant to Section 485(f) of the Higher Education Act of 1965 (20 U.S.C. 1092(f)), </w:t>
      </w:r>
      <w:r w:rsidR="00B23756">
        <w:rPr>
          <w:rFonts w:ascii="Arial" w:eastAsia="Times New Roman" w:hAnsi="Arial" w:cs="Arial"/>
          <w:color w:val="000000"/>
          <w:sz w:val="24"/>
          <w:szCs w:val="24"/>
          <w:bdr w:val="none" w:sz="0" w:space="0" w:color="auto" w:frame="1"/>
          <w:shd w:val="clear" w:color="auto" w:fill="FFFFFF"/>
        </w:rPr>
        <w:t>D&amp;E</w:t>
      </w:r>
      <w:r w:rsidRPr="00822EA8">
        <w:rPr>
          <w:rFonts w:ascii="Arial" w:eastAsia="Times New Roman" w:hAnsi="Arial" w:cs="Arial"/>
          <w:color w:val="000000"/>
          <w:sz w:val="24"/>
          <w:szCs w:val="24"/>
          <w:bdr w:val="none" w:sz="0" w:space="0" w:color="auto" w:frame="1"/>
          <w:shd w:val="clear" w:color="auto" w:fill="FFFFFF"/>
        </w:rPr>
        <w:t xml:space="preserve"> provides a report of past hazing misconduct involving student organizations, clubs, and athletics teams. Reports of hazing that did not result in a finding of responsibility are not included. Information provided in the report will not include personally identifiable information about specific individuals. Any student organizations under active investigation will not appear on the Campus Hazing Transparency Report until the conclusion of the investigation (and findings of responsibility). </w:t>
      </w:r>
      <w:r w:rsidR="00B23756">
        <w:rPr>
          <w:rFonts w:ascii="Arial" w:eastAsia="Times New Roman" w:hAnsi="Arial" w:cs="Arial"/>
          <w:color w:val="000000"/>
          <w:sz w:val="24"/>
          <w:szCs w:val="24"/>
          <w:bdr w:val="none" w:sz="0" w:space="0" w:color="auto" w:frame="1"/>
          <w:shd w:val="clear" w:color="auto" w:fill="FFFFFF"/>
        </w:rPr>
        <w:t>D&amp;E</w:t>
      </w:r>
      <w:r w:rsidRPr="00822EA8">
        <w:rPr>
          <w:rFonts w:ascii="Arial" w:eastAsia="Times New Roman" w:hAnsi="Arial" w:cs="Arial"/>
          <w:color w:val="000000"/>
          <w:sz w:val="24"/>
          <w:szCs w:val="24"/>
          <w:bdr w:val="none" w:sz="0" w:space="0" w:color="auto" w:frame="1"/>
          <w:shd w:val="clear" w:color="auto" w:fill="FFFFFF"/>
        </w:rPr>
        <w:t xml:space="preserve"> updates this report twice a year and will maintain entries concerning findings of misconduct in this report for 5 years.</w:t>
      </w:r>
    </w:p>
    <w:p w14:paraId="6861725C"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t> </w:t>
      </w:r>
    </w:p>
    <w:p w14:paraId="7D6D1E1E" w14:textId="77777777" w:rsidR="00822EA8" w:rsidRPr="00822EA8" w:rsidRDefault="00822EA8" w:rsidP="00822EA8">
      <w:pPr>
        <w:shd w:val="clear" w:color="auto" w:fill="FFFFFF"/>
        <w:spacing w:after="0" w:line="450" w:lineRule="atLeast"/>
        <w:rPr>
          <w:rFonts w:ascii="Segoe UI" w:eastAsia="Times New Roman" w:hAnsi="Segoe UI" w:cs="Segoe UI"/>
          <w:color w:val="242424"/>
          <w:sz w:val="23"/>
          <w:szCs w:val="23"/>
        </w:rPr>
      </w:pPr>
      <w:r w:rsidRPr="00822EA8">
        <w:rPr>
          <w:rFonts w:ascii="Arial" w:eastAsia="Times New Roman" w:hAnsi="Arial" w:cs="Arial"/>
          <w:color w:val="111111"/>
          <w:sz w:val="24"/>
          <w:szCs w:val="24"/>
          <w:bdr w:val="none" w:sz="0" w:space="0" w:color="auto" w:frame="1"/>
          <w:shd w:val="clear" w:color="auto" w:fill="FFFFFF"/>
        </w:rPr>
        <w:t>For each substantiated hazing incident, the following information is provided:</w:t>
      </w:r>
    </w:p>
    <w:p w14:paraId="5E2957E9" w14:textId="0B568F12" w:rsidR="00822EA8" w:rsidRPr="00822EA8" w:rsidRDefault="00822EA8" w:rsidP="00822EA8">
      <w:pPr>
        <w:numPr>
          <w:ilvl w:val="0"/>
          <w:numId w:val="1"/>
        </w:numPr>
        <w:shd w:val="clear" w:color="auto" w:fill="FFFFFF"/>
        <w:spacing w:after="0" w:line="240" w:lineRule="auto"/>
        <w:textAlignment w:val="baseline"/>
        <w:rPr>
          <w:rFonts w:ascii="Segoe UI" w:eastAsia="Times New Roman" w:hAnsi="Segoe UI" w:cs="Segoe UI"/>
          <w:color w:val="111111"/>
          <w:sz w:val="23"/>
          <w:szCs w:val="23"/>
        </w:rPr>
      </w:pPr>
      <w:r w:rsidRPr="00822EA8">
        <w:rPr>
          <w:rFonts w:ascii="Arial" w:eastAsia="Times New Roman" w:hAnsi="Arial" w:cs="Arial"/>
          <w:color w:val="111111"/>
          <w:sz w:val="24"/>
          <w:szCs w:val="24"/>
          <w:bdr w:val="none" w:sz="0" w:space="0" w:color="auto" w:frame="1"/>
          <w:shd w:val="clear" w:color="auto" w:fill="FFFFFF"/>
        </w:rPr>
        <w:t xml:space="preserve">The name of the student organization, athletic team, or living </w:t>
      </w:r>
      <w:r w:rsidR="00554BE2" w:rsidRPr="00822EA8">
        <w:rPr>
          <w:rFonts w:ascii="Arial" w:eastAsia="Times New Roman" w:hAnsi="Arial" w:cs="Arial"/>
          <w:color w:val="111111"/>
          <w:sz w:val="24"/>
          <w:szCs w:val="24"/>
          <w:bdr w:val="none" w:sz="0" w:space="0" w:color="auto" w:frame="1"/>
          <w:shd w:val="clear" w:color="auto" w:fill="FFFFFF"/>
        </w:rPr>
        <w:t>group.</w:t>
      </w:r>
    </w:p>
    <w:p w14:paraId="731E7EF3" w14:textId="77777777" w:rsidR="00822EA8" w:rsidRPr="00822EA8" w:rsidRDefault="00822EA8" w:rsidP="00822EA8">
      <w:pPr>
        <w:numPr>
          <w:ilvl w:val="0"/>
          <w:numId w:val="1"/>
        </w:numPr>
        <w:shd w:val="clear" w:color="auto" w:fill="FFFFFF"/>
        <w:spacing w:after="0" w:line="240" w:lineRule="auto"/>
        <w:textAlignment w:val="baseline"/>
        <w:rPr>
          <w:rFonts w:ascii="Segoe UI" w:eastAsia="Times New Roman" w:hAnsi="Segoe UI" w:cs="Segoe UI"/>
          <w:color w:val="111111"/>
          <w:sz w:val="23"/>
          <w:szCs w:val="23"/>
        </w:rPr>
      </w:pPr>
      <w:r w:rsidRPr="00822EA8">
        <w:rPr>
          <w:rFonts w:ascii="Arial" w:eastAsia="Times New Roman" w:hAnsi="Arial" w:cs="Arial"/>
          <w:color w:val="111111"/>
          <w:sz w:val="24"/>
          <w:szCs w:val="24"/>
          <w:bdr w:val="none" w:sz="0" w:space="0" w:color="auto" w:frame="1"/>
          <w:shd w:val="clear" w:color="auto" w:fill="FFFFFF"/>
        </w:rPr>
        <w:t xml:space="preserve">The </w:t>
      </w:r>
      <w:proofErr w:type="gramStart"/>
      <w:r w:rsidRPr="00822EA8">
        <w:rPr>
          <w:rFonts w:ascii="Arial" w:eastAsia="Times New Roman" w:hAnsi="Arial" w:cs="Arial"/>
          <w:color w:val="111111"/>
          <w:sz w:val="24"/>
          <w:szCs w:val="24"/>
          <w:bdr w:val="none" w:sz="0" w:space="0" w:color="auto" w:frame="1"/>
          <w:shd w:val="clear" w:color="auto" w:fill="FFFFFF"/>
        </w:rPr>
        <w:t>date</w:t>
      </w:r>
      <w:proofErr w:type="gramEnd"/>
      <w:r w:rsidRPr="00822EA8">
        <w:rPr>
          <w:rFonts w:ascii="Arial" w:eastAsia="Times New Roman" w:hAnsi="Arial" w:cs="Arial"/>
          <w:color w:val="111111"/>
          <w:sz w:val="24"/>
          <w:szCs w:val="24"/>
          <w:bdr w:val="none" w:sz="0" w:space="0" w:color="auto" w:frame="1"/>
          <w:shd w:val="clear" w:color="auto" w:fill="FFFFFF"/>
        </w:rPr>
        <w:t xml:space="preserve"> the investigation was initiated.</w:t>
      </w:r>
    </w:p>
    <w:p w14:paraId="73F93366" w14:textId="77777777" w:rsidR="00822EA8" w:rsidRPr="00822EA8" w:rsidRDefault="00822EA8" w:rsidP="00822EA8">
      <w:pPr>
        <w:numPr>
          <w:ilvl w:val="0"/>
          <w:numId w:val="1"/>
        </w:numPr>
        <w:shd w:val="clear" w:color="auto" w:fill="FFFFFF"/>
        <w:spacing w:after="0" w:line="240" w:lineRule="auto"/>
        <w:textAlignment w:val="baseline"/>
        <w:rPr>
          <w:rFonts w:ascii="Segoe UI" w:eastAsia="Times New Roman" w:hAnsi="Segoe UI" w:cs="Segoe UI"/>
          <w:color w:val="111111"/>
          <w:sz w:val="23"/>
          <w:szCs w:val="23"/>
        </w:rPr>
      </w:pPr>
      <w:r w:rsidRPr="00822EA8">
        <w:rPr>
          <w:rFonts w:ascii="Arial" w:eastAsia="Times New Roman" w:hAnsi="Arial" w:cs="Arial"/>
          <w:color w:val="111111"/>
          <w:sz w:val="24"/>
          <w:szCs w:val="24"/>
          <w:bdr w:val="none" w:sz="0" w:space="0" w:color="auto" w:frame="1"/>
          <w:shd w:val="clear" w:color="auto" w:fill="FFFFFF"/>
        </w:rPr>
        <w:t>The date on which the investigation ended with a finding that a violation occurred.</w:t>
      </w:r>
    </w:p>
    <w:p w14:paraId="3A35CB76" w14:textId="169D3129" w:rsidR="00822EA8" w:rsidRPr="00822EA8" w:rsidRDefault="00822EA8" w:rsidP="00822EA8">
      <w:pPr>
        <w:numPr>
          <w:ilvl w:val="0"/>
          <w:numId w:val="1"/>
        </w:numPr>
        <w:shd w:val="clear" w:color="auto" w:fill="FFFFFF"/>
        <w:spacing w:after="0" w:line="240" w:lineRule="auto"/>
        <w:textAlignment w:val="baseline"/>
        <w:rPr>
          <w:rFonts w:ascii="Segoe UI" w:eastAsia="Times New Roman" w:hAnsi="Segoe UI" w:cs="Segoe UI"/>
          <w:color w:val="111111"/>
          <w:sz w:val="23"/>
          <w:szCs w:val="23"/>
        </w:rPr>
      </w:pPr>
      <w:r w:rsidRPr="00822EA8">
        <w:rPr>
          <w:rFonts w:ascii="Arial" w:eastAsia="Times New Roman" w:hAnsi="Arial" w:cs="Arial"/>
          <w:color w:val="111111"/>
          <w:sz w:val="24"/>
          <w:szCs w:val="24"/>
          <w:bdr w:val="none" w:sz="0" w:space="0" w:color="auto" w:frame="1"/>
          <w:shd w:val="clear" w:color="auto" w:fill="FFFFFF"/>
        </w:rPr>
        <w:t xml:space="preserve">A description of the incident or incidents, including the date of the initial violation, and the violations, findings, and sanctions placed on the student organization, athletic team, or living </w:t>
      </w:r>
      <w:r w:rsidR="009147A4" w:rsidRPr="00822EA8">
        <w:rPr>
          <w:rFonts w:ascii="Arial" w:eastAsia="Times New Roman" w:hAnsi="Arial" w:cs="Arial"/>
          <w:color w:val="111111"/>
          <w:sz w:val="24"/>
          <w:szCs w:val="24"/>
          <w:bdr w:val="none" w:sz="0" w:space="0" w:color="auto" w:frame="1"/>
          <w:shd w:val="clear" w:color="auto" w:fill="FFFFFF"/>
        </w:rPr>
        <w:t>group.</w:t>
      </w:r>
    </w:p>
    <w:p w14:paraId="3CCB4E00" w14:textId="77777777" w:rsidR="00822EA8" w:rsidRPr="00822EA8" w:rsidRDefault="00822EA8" w:rsidP="00822EA8">
      <w:pPr>
        <w:numPr>
          <w:ilvl w:val="0"/>
          <w:numId w:val="1"/>
        </w:numPr>
        <w:shd w:val="clear" w:color="auto" w:fill="FFFFFF"/>
        <w:spacing w:after="0" w:line="240" w:lineRule="auto"/>
        <w:textAlignment w:val="baseline"/>
        <w:rPr>
          <w:rFonts w:ascii="Segoe UI" w:eastAsia="Times New Roman" w:hAnsi="Segoe UI" w:cs="Segoe UI"/>
          <w:color w:val="111111"/>
          <w:sz w:val="23"/>
          <w:szCs w:val="23"/>
        </w:rPr>
      </w:pPr>
      <w:r w:rsidRPr="00822EA8">
        <w:rPr>
          <w:rFonts w:ascii="Arial" w:eastAsia="Times New Roman" w:hAnsi="Arial" w:cs="Arial"/>
          <w:color w:val="111111"/>
          <w:sz w:val="24"/>
          <w:szCs w:val="24"/>
          <w:bdr w:val="none" w:sz="0" w:space="0" w:color="auto" w:frame="1"/>
          <w:shd w:val="clear" w:color="auto" w:fill="FFFFFF"/>
        </w:rPr>
        <w:t>The details of the sanction or sanctions imposed, including the beginning and end dates of the sanction or sanctions; and</w:t>
      </w:r>
    </w:p>
    <w:p w14:paraId="5E7C3190" w14:textId="77777777" w:rsidR="00822EA8" w:rsidRPr="00822EA8" w:rsidRDefault="00822EA8" w:rsidP="00822EA8">
      <w:pPr>
        <w:numPr>
          <w:ilvl w:val="0"/>
          <w:numId w:val="1"/>
        </w:numPr>
        <w:shd w:val="clear" w:color="auto" w:fill="FFFFFF"/>
        <w:spacing w:after="0" w:line="240" w:lineRule="auto"/>
        <w:textAlignment w:val="baseline"/>
        <w:rPr>
          <w:rFonts w:ascii="Segoe UI" w:eastAsia="Times New Roman" w:hAnsi="Segoe UI" w:cs="Segoe UI"/>
          <w:color w:val="111111"/>
          <w:sz w:val="23"/>
          <w:szCs w:val="23"/>
        </w:rPr>
      </w:pPr>
      <w:r w:rsidRPr="00822EA8">
        <w:rPr>
          <w:rFonts w:ascii="Arial" w:eastAsia="Times New Roman" w:hAnsi="Arial" w:cs="Arial"/>
          <w:color w:val="111111"/>
          <w:sz w:val="24"/>
          <w:szCs w:val="24"/>
          <w:bdr w:val="none" w:sz="0" w:space="0" w:color="auto" w:frame="1"/>
          <w:shd w:val="clear" w:color="auto" w:fill="FFFFFF"/>
        </w:rPr>
        <w:t>The date that the student organization, athletic team, or living group was charged with a violation.</w:t>
      </w:r>
    </w:p>
    <w:p w14:paraId="5D8639CD"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t> </w:t>
      </w:r>
    </w:p>
    <w:p w14:paraId="01645B2C" w14:textId="77777777"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b/>
          <w:bCs/>
          <w:color w:val="000000"/>
          <w:sz w:val="24"/>
          <w:szCs w:val="24"/>
          <w:bdr w:val="none" w:sz="0" w:space="0" w:color="auto" w:frame="1"/>
          <w:shd w:val="clear" w:color="auto" w:fill="FFFFFF"/>
        </w:rPr>
        <w:t xml:space="preserve">Summary of Substantiated Hazing Incidents </w:t>
      </w:r>
      <w:proofErr w:type="gramStart"/>
      <w:r w:rsidRPr="00822EA8">
        <w:rPr>
          <w:rFonts w:ascii="Arial" w:eastAsia="Times New Roman" w:hAnsi="Arial" w:cs="Arial"/>
          <w:b/>
          <w:bCs/>
          <w:color w:val="000000"/>
          <w:sz w:val="24"/>
          <w:szCs w:val="24"/>
          <w:bdr w:val="none" w:sz="0" w:space="0" w:color="auto" w:frame="1"/>
          <w:shd w:val="clear" w:color="auto" w:fill="FFFFFF"/>
        </w:rPr>
        <w:t>since</w:t>
      </w:r>
      <w:proofErr w:type="gramEnd"/>
      <w:r w:rsidRPr="00822EA8">
        <w:rPr>
          <w:rFonts w:ascii="Arial" w:eastAsia="Times New Roman" w:hAnsi="Arial" w:cs="Arial"/>
          <w:b/>
          <w:bCs/>
          <w:color w:val="000000"/>
          <w:sz w:val="24"/>
          <w:szCs w:val="24"/>
          <w:bdr w:val="none" w:sz="0" w:space="0" w:color="auto" w:frame="1"/>
          <w:shd w:val="clear" w:color="auto" w:fill="FFFFFF"/>
        </w:rPr>
        <w:t xml:space="preserve"> July 1, 2025:</w:t>
      </w:r>
    </w:p>
    <w:p w14:paraId="020A5778" w14:textId="77777777" w:rsidR="00822EA8" w:rsidRDefault="00822EA8" w:rsidP="00822EA8">
      <w:pPr>
        <w:shd w:val="clear" w:color="auto" w:fill="FFFFFF"/>
        <w:spacing w:after="0" w:line="240" w:lineRule="auto"/>
        <w:rPr>
          <w:rFonts w:ascii="Arial" w:eastAsia="Times New Roman" w:hAnsi="Arial" w:cs="Arial"/>
          <w:color w:val="000000"/>
          <w:sz w:val="24"/>
          <w:szCs w:val="24"/>
          <w:bdr w:val="none" w:sz="0" w:space="0" w:color="auto" w:frame="1"/>
          <w:shd w:val="clear" w:color="auto" w:fill="FFFFFF"/>
        </w:rPr>
      </w:pPr>
      <w:r w:rsidRPr="00822EA8">
        <w:rPr>
          <w:rFonts w:ascii="Arial" w:eastAsia="Times New Roman" w:hAnsi="Arial" w:cs="Arial"/>
          <w:color w:val="000000"/>
          <w:sz w:val="24"/>
          <w:szCs w:val="24"/>
          <w:bdr w:val="none" w:sz="0" w:space="0" w:color="auto" w:frame="1"/>
          <w:shd w:val="clear" w:color="auto" w:fill="FFFFFF"/>
        </w:rPr>
        <w:t>There are no findings of responsibility</w:t>
      </w:r>
    </w:p>
    <w:p w14:paraId="30465424" w14:textId="77777777" w:rsidR="00FB1123" w:rsidRDefault="00FB1123" w:rsidP="00822EA8">
      <w:pPr>
        <w:shd w:val="clear" w:color="auto" w:fill="FFFFFF"/>
        <w:spacing w:after="0" w:line="240" w:lineRule="auto"/>
        <w:rPr>
          <w:rFonts w:ascii="Arial" w:eastAsia="Times New Roman" w:hAnsi="Arial" w:cs="Arial"/>
          <w:color w:val="000000"/>
          <w:sz w:val="24"/>
          <w:szCs w:val="24"/>
          <w:bdr w:val="none" w:sz="0" w:space="0" w:color="auto" w:frame="1"/>
          <w:shd w:val="clear" w:color="auto" w:fill="FFFFFF"/>
        </w:rPr>
      </w:pPr>
    </w:p>
    <w:p w14:paraId="143798D0" w14:textId="2E396A87" w:rsidR="00FB1123" w:rsidRPr="00822EA8" w:rsidRDefault="00FB1123" w:rsidP="00FB1123">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b/>
          <w:bCs/>
          <w:color w:val="000000"/>
          <w:sz w:val="24"/>
          <w:szCs w:val="24"/>
          <w:bdr w:val="none" w:sz="0" w:space="0" w:color="auto" w:frame="1"/>
          <w:shd w:val="clear" w:color="auto" w:fill="FFFFFF"/>
        </w:rPr>
        <w:t xml:space="preserve">Summary of Substantiated Hazing Incidents since </w:t>
      </w:r>
      <w:r>
        <w:rPr>
          <w:rFonts w:ascii="Arial" w:eastAsia="Times New Roman" w:hAnsi="Arial" w:cs="Arial"/>
          <w:b/>
          <w:bCs/>
          <w:color w:val="000000"/>
          <w:sz w:val="24"/>
          <w:szCs w:val="24"/>
          <w:bdr w:val="none" w:sz="0" w:space="0" w:color="auto" w:frame="1"/>
          <w:shd w:val="clear" w:color="auto" w:fill="FFFFFF"/>
        </w:rPr>
        <w:t>December</w:t>
      </w:r>
      <w:r w:rsidRPr="00822EA8">
        <w:rPr>
          <w:rFonts w:ascii="Arial" w:eastAsia="Times New Roman" w:hAnsi="Arial" w:cs="Arial"/>
          <w:b/>
          <w:bCs/>
          <w:color w:val="000000"/>
          <w:sz w:val="24"/>
          <w:szCs w:val="24"/>
          <w:bdr w:val="none" w:sz="0" w:space="0" w:color="auto" w:frame="1"/>
          <w:shd w:val="clear" w:color="auto" w:fill="FFFFFF"/>
        </w:rPr>
        <w:t xml:space="preserve"> 1, 2025:</w:t>
      </w:r>
    </w:p>
    <w:p w14:paraId="20E53539" w14:textId="77ABFBCD" w:rsidR="00FB1123" w:rsidRPr="00822EA8" w:rsidRDefault="00FB1123" w:rsidP="00822EA8">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There are no findings of responsibility</w:t>
      </w:r>
    </w:p>
    <w:p w14:paraId="61CA37B6"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t> </w:t>
      </w:r>
    </w:p>
    <w:p w14:paraId="25C83166" w14:textId="77777777" w:rsidR="00822EA8" w:rsidRPr="00C00BBA" w:rsidRDefault="00822EA8" w:rsidP="00822EA8">
      <w:pPr>
        <w:shd w:val="clear" w:color="auto" w:fill="FFFFFF"/>
        <w:spacing w:after="0" w:line="240" w:lineRule="auto"/>
        <w:rPr>
          <w:rFonts w:ascii="Segoe UI" w:eastAsia="Times New Roman" w:hAnsi="Segoe UI" w:cs="Segoe UI"/>
          <w:color w:val="242424"/>
          <w:sz w:val="23"/>
          <w:szCs w:val="23"/>
        </w:rPr>
      </w:pPr>
      <w:r w:rsidRPr="00C00BBA">
        <w:rPr>
          <w:rFonts w:ascii="Arial" w:eastAsia="Times New Roman" w:hAnsi="Arial" w:cs="Arial"/>
          <w:b/>
          <w:bCs/>
          <w:color w:val="000000"/>
          <w:sz w:val="24"/>
          <w:szCs w:val="24"/>
          <w:bdr w:val="none" w:sz="0" w:space="0" w:color="auto" w:frame="1"/>
          <w:shd w:val="clear" w:color="auto" w:fill="FFFFFF"/>
        </w:rPr>
        <w:t>Hazing and Organization Misconduct Policy</w:t>
      </w:r>
    </w:p>
    <w:p w14:paraId="0C1BCCFB" w14:textId="6CA68A22"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C00BBA">
        <w:rPr>
          <w:rFonts w:ascii="Arial" w:eastAsia="Times New Roman" w:hAnsi="Arial" w:cs="Arial"/>
          <w:color w:val="000000"/>
          <w:sz w:val="24"/>
          <w:szCs w:val="24"/>
          <w:bdr w:val="none" w:sz="0" w:space="0" w:color="auto" w:frame="1"/>
          <w:shd w:val="clear" w:color="auto" w:fill="FFFFFF"/>
        </w:rPr>
        <w:t>The Hazing and Organization Misconduct policy can be found in the </w:t>
      </w:r>
      <w:hyperlink r:id="rId5" w:tooltip="https://www.wvwc.edu/wp-content/uploads/2025/09/Student-Handbook-Fall-2025.pdf" w:history="1">
        <w:r w:rsidR="00B23756" w:rsidRPr="00C00BBA">
          <w:rPr>
            <w:rFonts w:ascii="Arial" w:eastAsia="Times New Roman" w:hAnsi="Arial" w:cs="Arial"/>
            <w:color w:val="1155CC"/>
            <w:sz w:val="24"/>
            <w:szCs w:val="24"/>
            <w:u w:val="single"/>
            <w:bdr w:val="none" w:sz="0" w:space="0" w:color="auto" w:frame="1"/>
            <w:shd w:val="clear" w:color="auto" w:fill="FFFFFF"/>
          </w:rPr>
          <w:t>D&amp;E</w:t>
        </w:r>
        <w:r w:rsidRPr="00C00BBA">
          <w:rPr>
            <w:rFonts w:ascii="Arial" w:eastAsia="Times New Roman" w:hAnsi="Arial" w:cs="Arial"/>
            <w:color w:val="1155CC"/>
            <w:sz w:val="24"/>
            <w:szCs w:val="24"/>
            <w:u w:val="single"/>
            <w:bdr w:val="none" w:sz="0" w:space="0" w:color="auto" w:frame="1"/>
            <w:shd w:val="clear" w:color="auto" w:fill="FFFFFF"/>
          </w:rPr>
          <w:t xml:space="preserve"> Student Handbook</w:t>
        </w:r>
      </w:hyperlink>
      <w:r w:rsidRPr="00C00BBA">
        <w:rPr>
          <w:rFonts w:ascii="Arial" w:eastAsia="Times New Roman" w:hAnsi="Arial" w:cs="Arial"/>
          <w:color w:val="000000"/>
          <w:sz w:val="24"/>
          <w:szCs w:val="24"/>
          <w:bdr w:val="none" w:sz="0" w:space="0" w:color="auto" w:frame="1"/>
          <w:shd w:val="clear" w:color="auto" w:fill="FFFFFF"/>
        </w:rPr>
        <w:t xml:space="preserve"> on page </w:t>
      </w:r>
      <w:r w:rsidR="00C00BBA" w:rsidRPr="00C00BBA">
        <w:rPr>
          <w:rFonts w:ascii="Arial" w:eastAsia="Times New Roman" w:hAnsi="Arial" w:cs="Arial"/>
          <w:color w:val="000000"/>
          <w:sz w:val="24"/>
          <w:szCs w:val="24"/>
          <w:bdr w:val="none" w:sz="0" w:space="0" w:color="auto" w:frame="1"/>
          <w:shd w:val="clear" w:color="auto" w:fill="FFFFFF"/>
        </w:rPr>
        <w:t>82</w:t>
      </w:r>
      <w:r w:rsidRPr="00C00BBA">
        <w:rPr>
          <w:rFonts w:ascii="Arial" w:eastAsia="Times New Roman" w:hAnsi="Arial" w:cs="Arial"/>
          <w:color w:val="000000"/>
          <w:sz w:val="24"/>
          <w:szCs w:val="24"/>
          <w:bdr w:val="none" w:sz="0" w:space="0" w:color="auto" w:frame="1"/>
          <w:shd w:val="clear" w:color="auto" w:fill="FFFFFF"/>
        </w:rPr>
        <w:t>.</w:t>
      </w:r>
    </w:p>
    <w:p w14:paraId="21937222"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t> </w:t>
      </w:r>
    </w:p>
    <w:p w14:paraId="308E37A0" w14:textId="77777777"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b/>
          <w:bCs/>
          <w:color w:val="000000"/>
          <w:sz w:val="24"/>
          <w:szCs w:val="24"/>
          <w:bdr w:val="none" w:sz="0" w:space="0" w:color="auto" w:frame="1"/>
          <w:shd w:val="clear" w:color="auto" w:fill="FFFFFF"/>
        </w:rPr>
        <w:t>Hazing Prevention Programming</w:t>
      </w:r>
    </w:p>
    <w:p w14:paraId="5AF8D495" w14:textId="4277AFAB"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 xml:space="preserve">All faculty, staff, and students are required to complete hazing prevention education annually through the Vector Solutions online module system. The course reviews understanding hazing, identifying and reporting hazing, prevention of hazing, and </w:t>
      </w:r>
      <w:r w:rsidR="00B23756">
        <w:rPr>
          <w:rFonts w:ascii="Arial" w:eastAsia="Times New Roman" w:hAnsi="Arial" w:cs="Arial"/>
          <w:color w:val="000000"/>
          <w:sz w:val="24"/>
          <w:szCs w:val="24"/>
          <w:bdr w:val="none" w:sz="0" w:space="0" w:color="auto" w:frame="1"/>
          <w:shd w:val="clear" w:color="auto" w:fill="FFFFFF"/>
        </w:rPr>
        <w:t>D&amp;E</w:t>
      </w:r>
      <w:r w:rsidRPr="00822EA8">
        <w:rPr>
          <w:rFonts w:ascii="Arial" w:eastAsia="Times New Roman" w:hAnsi="Arial" w:cs="Arial"/>
          <w:color w:val="000000"/>
          <w:sz w:val="24"/>
          <w:szCs w:val="24"/>
          <w:bdr w:val="none" w:sz="0" w:space="0" w:color="auto" w:frame="1"/>
          <w:shd w:val="clear" w:color="auto" w:fill="FFFFFF"/>
        </w:rPr>
        <w:t xml:space="preserve"> campus hazing policies. Additionally, all student-athletes and students participating in Greek Life receive additional hazing prevention education, including ethical leadership and bystander intervention strategies. Faculty and staff are </w:t>
      </w:r>
      <w:proofErr w:type="gramStart"/>
      <w:r w:rsidRPr="00822EA8">
        <w:rPr>
          <w:rFonts w:ascii="Arial" w:eastAsia="Times New Roman" w:hAnsi="Arial" w:cs="Arial"/>
          <w:color w:val="000000"/>
          <w:sz w:val="24"/>
          <w:szCs w:val="24"/>
          <w:bdr w:val="none" w:sz="0" w:space="0" w:color="auto" w:frame="1"/>
          <w:shd w:val="clear" w:color="auto" w:fill="FFFFFF"/>
        </w:rPr>
        <w:t>provided</w:t>
      </w:r>
      <w:proofErr w:type="gramEnd"/>
      <w:r w:rsidRPr="00822EA8">
        <w:rPr>
          <w:rFonts w:ascii="Arial" w:eastAsia="Times New Roman" w:hAnsi="Arial" w:cs="Arial"/>
          <w:color w:val="000000"/>
          <w:sz w:val="24"/>
          <w:szCs w:val="24"/>
          <w:bdr w:val="none" w:sz="0" w:space="0" w:color="auto" w:frame="1"/>
          <w:shd w:val="clear" w:color="auto" w:fill="FFFFFF"/>
        </w:rPr>
        <w:t xml:space="preserve"> additional hazing education annually at the campus-wide </w:t>
      </w:r>
      <w:r w:rsidR="00DB4AB7">
        <w:rPr>
          <w:rFonts w:ascii="Arial" w:eastAsia="Times New Roman" w:hAnsi="Arial" w:cs="Arial"/>
          <w:color w:val="000000"/>
          <w:sz w:val="24"/>
          <w:szCs w:val="24"/>
          <w:bdr w:val="none" w:sz="0" w:space="0" w:color="auto" w:frame="1"/>
          <w:shd w:val="clear" w:color="auto" w:fill="FFFFFF"/>
        </w:rPr>
        <w:t>fall semester opening session</w:t>
      </w:r>
      <w:r w:rsidRPr="00822EA8">
        <w:rPr>
          <w:rFonts w:ascii="Arial" w:eastAsia="Times New Roman" w:hAnsi="Arial" w:cs="Arial"/>
          <w:color w:val="000000"/>
          <w:sz w:val="24"/>
          <w:szCs w:val="24"/>
          <w:bdr w:val="none" w:sz="0" w:space="0" w:color="auto" w:frame="1"/>
          <w:shd w:val="clear" w:color="auto" w:fill="FFFFFF"/>
        </w:rPr>
        <w:t>. </w:t>
      </w:r>
    </w:p>
    <w:p w14:paraId="170041B5" w14:textId="77777777"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t> </w:t>
      </w:r>
    </w:p>
    <w:p w14:paraId="7FE56D9B" w14:textId="77777777" w:rsidR="00822EA8" w:rsidRPr="00822EA8" w:rsidRDefault="00822EA8" w:rsidP="00822EA8">
      <w:pPr>
        <w:shd w:val="clear" w:color="auto" w:fill="FFFFFF"/>
        <w:spacing w:after="0" w:line="240" w:lineRule="auto"/>
        <w:rPr>
          <w:rFonts w:ascii="Segoe UI" w:eastAsia="Times New Roman" w:hAnsi="Segoe UI" w:cs="Segoe UI"/>
          <w:color w:val="242424"/>
          <w:sz w:val="23"/>
          <w:szCs w:val="23"/>
        </w:rPr>
      </w:pPr>
      <w:r w:rsidRPr="00822EA8">
        <w:rPr>
          <w:rFonts w:ascii="Arial" w:eastAsia="Times New Roman" w:hAnsi="Arial" w:cs="Arial"/>
          <w:b/>
          <w:bCs/>
          <w:color w:val="000000"/>
          <w:sz w:val="24"/>
          <w:szCs w:val="24"/>
          <w:bdr w:val="none" w:sz="0" w:space="0" w:color="auto" w:frame="1"/>
          <w:shd w:val="clear" w:color="auto" w:fill="FFFFFF"/>
        </w:rPr>
        <w:lastRenderedPageBreak/>
        <w:t>Reporting Hazing</w:t>
      </w:r>
    </w:p>
    <w:p w14:paraId="1FAABDA2" w14:textId="0AC8BEEA" w:rsidR="00822EA8" w:rsidRPr="00822EA8" w:rsidRDefault="00822EA8" w:rsidP="00822EA8">
      <w:pPr>
        <w:shd w:val="clear" w:color="auto" w:fill="FFFFFF"/>
        <w:spacing w:beforeAutospacing="1" w:after="0" w:line="240" w:lineRule="auto"/>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 xml:space="preserve">Any faculty, staff, student, or volunteer of </w:t>
      </w:r>
      <w:r w:rsidR="00522473">
        <w:rPr>
          <w:rFonts w:ascii="Arial" w:eastAsia="Times New Roman" w:hAnsi="Arial" w:cs="Arial"/>
          <w:color w:val="000000"/>
          <w:sz w:val="24"/>
          <w:szCs w:val="24"/>
          <w:bdr w:val="none" w:sz="0" w:space="0" w:color="auto" w:frame="1"/>
          <w:shd w:val="clear" w:color="auto" w:fill="FFFFFF"/>
        </w:rPr>
        <w:t>Davis &amp; Elkins</w:t>
      </w:r>
      <w:r w:rsidRPr="00822EA8">
        <w:rPr>
          <w:rFonts w:ascii="Arial" w:eastAsia="Times New Roman" w:hAnsi="Arial" w:cs="Arial"/>
          <w:color w:val="000000"/>
          <w:sz w:val="24"/>
          <w:szCs w:val="24"/>
          <w:bdr w:val="none" w:sz="0" w:space="0" w:color="auto" w:frame="1"/>
          <w:shd w:val="clear" w:color="auto" w:fill="FFFFFF"/>
        </w:rPr>
        <w:t xml:space="preserve"> College, with knowledge or suspicion of hazing or other organization misconduct, is expected to report the activity to appropriate officials as indicated below or complete the </w:t>
      </w:r>
      <w:hyperlink r:id="rId6" w:tooltip="https://wvwc.guardianconduct.com/conduct-incidents" w:history="1">
        <w:r w:rsidRPr="00E21CBA">
          <w:rPr>
            <w:rFonts w:ascii="Arial" w:eastAsia="Times New Roman" w:hAnsi="Arial" w:cs="Arial"/>
            <w:color w:val="1155CC"/>
            <w:sz w:val="24"/>
            <w:szCs w:val="24"/>
            <w:u w:val="single"/>
            <w:bdr w:val="none" w:sz="0" w:space="0" w:color="auto" w:frame="1"/>
            <w:shd w:val="clear" w:color="auto" w:fill="FFFFFF"/>
          </w:rPr>
          <w:t>Hazing and Organization Misconduct Reporting Form</w:t>
        </w:r>
      </w:hyperlink>
      <w:r w:rsidRPr="00E21CBA">
        <w:rPr>
          <w:rFonts w:ascii="Arial" w:eastAsia="Times New Roman" w:hAnsi="Arial" w:cs="Arial"/>
          <w:color w:val="000000"/>
          <w:sz w:val="24"/>
          <w:szCs w:val="24"/>
          <w:bdr w:val="none" w:sz="0" w:space="0" w:color="auto" w:frame="1"/>
          <w:shd w:val="clear" w:color="auto" w:fill="FFFFFF"/>
        </w:rPr>
        <w:t>.</w:t>
      </w:r>
    </w:p>
    <w:tbl>
      <w:tblPr>
        <w:tblW w:w="0" w:type="auto"/>
        <w:shd w:val="clear" w:color="auto" w:fill="FFFFFF"/>
        <w:tblCellMar>
          <w:left w:w="0" w:type="dxa"/>
          <w:right w:w="0" w:type="dxa"/>
        </w:tblCellMar>
        <w:tblLook w:val="04A0" w:firstRow="1" w:lastRow="0" w:firstColumn="1" w:lastColumn="0" w:noHBand="0" w:noVBand="1"/>
      </w:tblPr>
      <w:tblGrid>
        <w:gridCol w:w="2869"/>
        <w:gridCol w:w="2027"/>
      </w:tblGrid>
      <w:tr w:rsidR="00822EA8" w:rsidRPr="00822EA8" w14:paraId="0DF5A3FF" w14:textId="77777777" w:rsidTr="00822EA8">
        <w:trPr>
          <w:trHeight w:val="705"/>
          <w:tblHeader/>
        </w:trPr>
        <w:tc>
          <w:tcPr>
            <w:tcW w:w="0" w:type="auto"/>
            <w:tcBorders>
              <w:top w:val="nil"/>
              <w:left w:val="nil"/>
              <w:bottom w:val="single" w:sz="8" w:space="0" w:color="000000"/>
              <w:right w:val="nil"/>
            </w:tcBorders>
            <w:shd w:val="clear" w:color="auto" w:fill="F9FAFB"/>
            <w:tcMar>
              <w:top w:w="200" w:type="dxa"/>
              <w:left w:w="160" w:type="dxa"/>
              <w:bottom w:w="200" w:type="dxa"/>
              <w:right w:w="160" w:type="dxa"/>
            </w:tcMar>
            <w:vAlign w:val="center"/>
            <w:hideMark/>
          </w:tcPr>
          <w:p w14:paraId="7439C019" w14:textId="77777777" w:rsidR="00822EA8" w:rsidRPr="00822EA8" w:rsidRDefault="00822EA8" w:rsidP="00822EA8">
            <w:pPr>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b/>
                <w:bCs/>
                <w:color w:val="000000"/>
                <w:sz w:val="24"/>
                <w:szCs w:val="24"/>
                <w:bdr w:val="none" w:sz="0" w:space="0" w:color="auto" w:frame="1"/>
                <w:shd w:val="clear" w:color="auto" w:fill="FFFFFF"/>
              </w:rPr>
              <w:t>Office/Department</w:t>
            </w:r>
          </w:p>
        </w:tc>
        <w:tc>
          <w:tcPr>
            <w:tcW w:w="0" w:type="auto"/>
            <w:tcBorders>
              <w:top w:val="nil"/>
              <w:left w:val="nil"/>
              <w:bottom w:val="single" w:sz="8" w:space="0" w:color="000000"/>
              <w:right w:val="nil"/>
            </w:tcBorders>
            <w:shd w:val="clear" w:color="auto" w:fill="F9FAFB"/>
            <w:tcMar>
              <w:top w:w="200" w:type="dxa"/>
              <w:left w:w="160" w:type="dxa"/>
              <w:bottom w:w="200" w:type="dxa"/>
              <w:right w:w="160" w:type="dxa"/>
            </w:tcMar>
            <w:vAlign w:val="center"/>
            <w:hideMark/>
          </w:tcPr>
          <w:p w14:paraId="668B6D86" w14:textId="77777777" w:rsidR="00822EA8" w:rsidRPr="00822EA8" w:rsidRDefault="00822EA8" w:rsidP="00822EA8">
            <w:pPr>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b/>
                <w:bCs/>
                <w:color w:val="000000"/>
                <w:sz w:val="24"/>
                <w:szCs w:val="24"/>
                <w:bdr w:val="none" w:sz="0" w:space="0" w:color="auto" w:frame="1"/>
                <w:shd w:val="clear" w:color="auto" w:fill="FFFFFF"/>
              </w:rPr>
              <w:t>Phone Number</w:t>
            </w:r>
          </w:p>
        </w:tc>
      </w:tr>
      <w:tr w:rsidR="00822EA8" w:rsidRPr="00822EA8" w14:paraId="41BED640" w14:textId="77777777" w:rsidTr="00822EA8">
        <w:trPr>
          <w:trHeight w:val="630"/>
          <w:tblHeader/>
        </w:trPr>
        <w:tc>
          <w:tcPr>
            <w:tcW w:w="0" w:type="auto"/>
            <w:tcBorders>
              <w:top w:val="nil"/>
              <w:left w:val="nil"/>
              <w:bottom w:val="single" w:sz="8" w:space="0" w:color="000000"/>
              <w:right w:val="nil"/>
            </w:tcBorders>
            <w:shd w:val="clear" w:color="auto" w:fill="FFFFFF"/>
            <w:tcMar>
              <w:top w:w="160" w:type="dxa"/>
              <w:left w:w="160" w:type="dxa"/>
              <w:bottom w:w="160" w:type="dxa"/>
              <w:right w:w="160" w:type="dxa"/>
            </w:tcMar>
            <w:vAlign w:val="center"/>
            <w:hideMark/>
          </w:tcPr>
          <w:p w14:paraId="23A119D9" w14:textId="77777777" w:rsidR="00822EA8" w:rsidRPr="00822EA8" w:rsidRDefault="00822EA8" w:rsidP="00822EA8">
            <w:pPr>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Campus Safety</w:t>
            </w:r>
          </w:p>
        </w:tc>
        <w:tc>
          <w:tcPr>
            <w:tcW w:w="0" w:type="auto"/>
            <w:tcBorders>
              <w:top w:val="nil"/>
              <w:left w:val="nil"/>
              <w:bottom w:val="single" w:sz="8" w:space="0" w:color="000000"/>
              <w:right w:val="nil"/>
            </w:tcBorders>
            <w:shd w:val="clear" w:color="auto" w:fill="FFFFFF"/>
            <w:tcMar>
              <w:top w:w="160" w:type="dxa"/>
              <w:left w:w="160" w:type="dxa"/>
              <w:bottom w:w="160" w:type="dxa"/>
              <w:right w:w="160" w:type="dxa"/>
            </w:tcMar>
            <w:vAlign w:val="center"/>
            <w:hideMark/>
          </w:tcPr>
          <w:p w14:paraId="766953C0" w14:textId="77C987ED" w:rsidR="00822EA8" w:rsidRPr="00822EA8" w:rsidRDefault="00822EA8" w:rsidP="00822EA8">
            <w:pPr>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304-</w:t>
            </w:r>
            <w:r w:rsidR="00CC0A06">
              <w:rPr>
                <w:rFonts w:ascii="Arial" w:eastAsia="Times New Roman" w:hAnsi="Arial" w:cs="Arial"/>
                <w:color w:val="000000"/>
                <w:sz w:val="24"/>
                <w:szCs w:val="24"/>
                <w:bdr w:val="none" w:sz="0" w:space="0" w:color="auto" w:frame="1"/>
                <w:shd w:val="clear" w:color="auto" w:fill="FFFFFF"/>
              </w:rPr>
              <w:t>704-9111</w:t>
            </w:r>
          </w:p>
        </w:tc>
      </w:tr>
      <w:tr w:rsidR="00822EA8" w:rsidRPr="00822EA8" w14:paraId="1DCF8EEE" w14:textId="77777777" w:rsidTr="00822EA8">
        <w:trPr>
          <w:trHeight w:val="645"/>
          <w:tblHeader/>
        </w:trPr>
        <w:tc>
          <w:tcPr>
            <w:tcW w:w="0" w:type="auto"/>
            <w:tcBorders>
              <w:top w:val="nil"/>
              <w:left w:val="nil"/>
              <w:bottom w:val="single" w:sz="8" w:space="0" w:color="000000"/>
              <w:right w:val="nil"/>
            </w:tcBorders>
            <w:shd w:val="clear" w:color="auto" w:fill="FFFFFF"/>
            <w:tcMar>
              <w:top w:w="160" w:type="dxa"/>
              <w:left w:w="160" w:type="dxa"/>
              <w:bottom w:w="160" w:type="dxa"/>
              <w:right w:w="160" w:type="dxa"/>
            </w:tcMar>
            <w:vAlign w:val="center"/>
            <w:hideMark/>
          </w:tcPr>
          <w:p w14:paraId="512E257F" w14:textId="77777777" w:rsidR="00822EA8" w:rsidRPr="00822EA8" w:rsidRDefault="00822EA8" w:rsidP="00822EA8">
            <w:pPr>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Dean of Students Office</w:t>
            </w:r>
          </w:p>
        </w:tc>
        <w:tc>
          <w:tcPr>
            <w:tcW w:w="0" w:type="auto"/>
            <w:tcBorders>
              <w:top w:val="nil"/>
              <w:left w:val="nil"/>
              <w:bottom w:val="single" w:sz="8" w:space="0" w:color="000000"/>
              <w:right w:val="nil"/>
            </w:tcBorders>
            <w:shd w:val="clear" w:color="auto" w:fill="FFFFFF"/>
            <w:tcMar>
              <w:top w:w="160" w:type="dxa"/>
              <w:left w:w="160" w:type="dxa"/>
              <w:bottom w:w="160" w:type="dxa"/>
              <w:right w:w="160" w:type="dxa"/>
            </w:tcMar>
            <w:vAlign w:val="center"/>
            <w:hideMark/>
          </w:tcPr>
          <w:p w14:paraId="72616794" w14:textId="31C267F3" w:rsidR="00822EA8" w:rsidRPr="00822EA8" w:rsidRDefault="00822EA8" w:rsidP="00822EA8">
            <w:pPr>
              <w:spacing w:after="0" w:line="240" w:lineRule="auto"/>
              <w:jc w:val="center"/>
              <w:rPr>
                <w:rFonts w:ascii="Segoe UI" w:eastAsia="Times New Roman" w:hAnsi="Segoe UI" w:cs="Segoe UI"/>
                <w:color w:val="242424"/>
                <w:sz w:val="23"/>
                <w:szCs w:val="23"/>
              </w:rPr>
            </w:pPr>
            <w:r w:rsidRPr="00822EA8">
              <w:rPr>
                <w:rFonts w:ascii="Arial" w:eastAsia="Times New Roman" w:hAnsi="Arial" w:cs="Arial"/>
                <w:color w:val="000000"/>
                <w:sz w:val="24"/>
                <w:szCs w:val="24"/>
                <w:bdr w:val="none" w:sz="0" w:space="0" w:color="auto" w:frame="1"/>
                <w:shd w:val="clear" w:color="auto" w:fill="FFFFFF"/>
              </w:rPr>
              <w:t>304-</w:t>
            </w:r>
            <w:r w:rsidR="00CC0A06">
              <w:rPr>
                <w:rFonts w:ascii="Arial" w:eastAsia="Times New Roman" w:hAnsi="Arial" w:cs="Arial"/>
                <w:color w:val="000000"/>
                <w:sz w:val="24"/>
                <w:szCs w:val="24"/>
                <w:bdr w:val="none" w:sz="0" w:space="0" w:color="auto" w:frame="1"/>
                <w:shd w:val="clear" w:color="auto" w:fill="FFFFFF"/>
              </w:rPr>
              <w:t>637-1211</w:t>
            </w:r>
          </w:p>
        </w:tc>
      </w:tr>
      <w:tr w:rsidR="00822EA8" w:rsidRPr="00822EA8" w14:paraId="0379672B" w14:textId="77777777" w:rsidTr="00822EA8">
        <w:trPr>
          <w:trHeight w:val="645"/>
        </w:trPr>
        <w:tc>
          <w:tcPr>
            <w:tcW w:w="0" w:type="auto"/>
            <w:tcBorders>
              <w:top w:val="nil"/>
              <w:left w:val="nil"/>
              <w:bottom w:val="nil"/>
              <w:right w:val="nil"/>
            </w:tcBorders>
            <w:shd w:val="clear" w:color="auto" w:fill="FFFFFF"/>
            <w:tcMar>
              <w:top w:w="160" w:type="dxa"/>
              <w:left w:w="160" w:type="dxa"/>
              <w:bottom w:w="160" w:type="dxa"/>
              <w:right w:w="160" w:type="dxa"/>
            </w:tcMar>
            <w:vAlign w:val="center"/>
            <w:hideMark/>
          </w:tcPr>
          <w:p w14:paraId="3EAB052C" w14:textId="77777777" w:rsidR="00822EA8" w:rsidRPr="00822EA8" w:rsidRDefault="00822EA8" w:rsidP="00822EA8">
            <w:pPr>
              <w:spacing w:after="0" w:line="240" w:lineRule="auto"/>
              <w:rPr>
                <w:rFonts w:ascii="Segoe UI" w:eastAsia="Times New Roman" w:hAnsi="Segoe UI" w:cs="Segoe UI"/>
                <w:color w:val="242424"/>
                <w:sz w:val="23"/>
                <w:szCs w:val="23"/>
              </w:rPr>
            </w:pPr>
          </w:p>
        </w:tc>
        <w:tc>
          <w:tcPr>
            <w:tcW w:w="0" w:type="auto"/>
            <w:tcBorders>
              <w:top w:val="nil"/>
              <w:left w:val="nil"/>
              <w:bottom w:val="nil"/>
              <w:right w:val="nil"/>
            </w:tcBorders>
            <w:shd w:val="clear" w:color="auto" w:fill="FFFFFF"/>
            <w:tcMar>
              <w:top w:w="160" w:type="dxa"/>
              <w:left w:w="160" w:type="dxa"/>
              <w:bottom w:w="160" w:type="dxa"/>
              <w:right w:w="160" w:type="dxa"/>
            </w:tcMar>
            <w:vAlign w:val="center"/>
            <w:hideMark/>
          </w:tcPr>
          <w:p w14:paraId="41F2321D" w14:textId="77777777" w:rsidR="00822EA8" w:rsidRPr="00822EA8" w:rsidRDefault="00822EA8" w:rsidP="00822EA8">
            <w:pPr>
              <w:spacing w:after="0" w:line="240" w:lineRule="auto"/>
              <w:rPr>
                <w:rFonts w:ascii="Times New Roman" w:eastAsia="Times New Roman" w:hAnsi="Times New Roman" w:cs="Times New Roman"/>
                <w:sz w:val="20"/>
                <w:szCs w:val="20"/>
              </w:rPr>
            </w:pPr>
          </w:p>
        </w:tc>
      </w:tr>
    </w:tbl>
    <w:p w14:paraId="63778DEC" w14:textId="5BBD73D6" w:rsidR="00822EA8" w:rsidRPr="00822EA8" w:rsidRDefault="00822EA8" w:rsidP="00822EA8">
      <w:pPr>
        <w:shd w:val="clear" w:color="auto" w:fill="FFFFFF"/>
        <w:spacing w:after="0" w:line="240" w:lineRule="auto"/>
        <w:rPr>
          <w:rFonts w:ascii="Calibri" w:eastAsia="Times New Roman" w:hAnsi="Calibri" w:cs="Calibri"/>
          <w:color w:val="242424"/>
        </w:rPr>
      </w:pPr>
      <w:r w:rsidRPr="00822EA8">
        <w:rPr>
          <w:rFonts w:ascii="Calibri" w:eastAsia="Times New Roman" w:hAnsi="Calibri" w:cs="Calibri"/>
          <w:color w:val="242424"/>
        </w:rPr>
        <w:br/>
      </w:r>
      <w:r w:rsidRPr="00822EA8">
        <w:rPr>
          <w:rFonts w:ascii="Arial" w:eastAsia="Times New Roman" w:hAnsi="Arial" w:cs="Arial"/>
          <w:b/>
          <w:bCs/>
          <w:color w:val="000000"/>
          <w:sz w:val="24"/>
          <w:szCs w:val="24"/>
          <w:bdr w:val="none" w:sz="0" w:space="0" w:color="auto" w:frame="1"/>
          <w:shd w:val="clear" w:color="auto" w:fill="FFFFFF"/>
        </w:rPr>
        <w:t>Report published</w:t>
      </w:r>
      <w:r w:rsidR="00D5035B" w:rsidRPr="00822EA8">
        <w:rPr>
          <w:rFonts w:ascii="Arial" w:eastAsia="Times New Roman" w:hAnsi="Arial" w:cs="Arial"/>
          <w:b/>
          <w:bCs/>
          <w:color w:val="000000"/>
          <w:sz w:val="24"/>
          <w:szCs w:val="24"/>
          <w:bdr w:val="none" w:sz="0" w:space="0" w:color="auto" w:frame="1"/>
          <w:shd w:val="clear" w:color="auto" w:fill="FFFFFF"/>
        </w:rPr>
        <w:t xml:space="preserve">: </w:t>
      </w:r>
      <w:r w:rsidR="00187408">
        <w:rPr>
          <w:rFonts w:ascii="Arial" w:eastAsia="Times New Roman" w:hAnsi="Arial" w:cs="Arial"/>
          <w:color w:val="000000"/>
          <w:sz w:val="24"/>
          <w:szCs w:val="24"/>
          <w:bdr w:val="none" w:sz="0" w:space="0" w:color="auto" w:frame="1"/>
          <w:shd w:val="clear" w:color="auto" w:fill="FFFFFF"/>
        </w:rPr>
        <w:t>June 1, 2026</w:t>
      </w:r>
    </w:p>
    <w:p w14:paraId="5E0027BA" w14:textId="77777777" w:rsidR="004751C6" w:rsidRDefault="004751C6"/>
    <w:sectPr w:rsidR="00475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611214"/>
    <w:multiLevelType w:val="multilevel"/>
    <w:tmpl w:val="889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949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A8"/>
    <w:rsid w:val="00050D29"/>
    <w:rsid w:val="00187408"/>
    <w:rsid w:val="00323F18"/>
    <w:rsid w:val="0046394F"/>
    <w:rsid w:val="004751C6"/>
    <w:rsid w:val="00504AAE"/>
    <w:rsid w:val="00522473"/>
    <w:rsid w:val="00554BE2"/>
    <w:rsid w:val="00585DCD"/>
    <w:rsid w:val="005F4F6B"/>
    <w:rsid w:val="00774C6F"/>
    <w:rsid w:val="00822EA8"/>
    <w:rsid w:val="009147A4"/>
    <w:rsid w:val="00AB279D"/>
    <w:rsid w:val="00B23756"/>
    <w:rsid w:val="00C00BBA"/>
    <w:rsid w:val="00CC0A06"/>
    <w:rsid w:val="00CF67A0"/>
    <w:rsid w:val="00D5035B"/>
    <w:rsid w:val="00DB4AB7"/>
    <w:rsid w:val="00E21CBA"/>
    <w:rsid w:val="00FB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4993A7"/>
  <w15:chartTrackingRefBased/>
  <w15:docId w15:val="{70C8991A-D6FF-4A0E-B6A9-C3970FE1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2E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22EA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22E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64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wv.guardianconduct.com/incident-reporting/new" TargetMode="External"/><Relationship Id="rId5" Type="http://schemas.openxmlformats.org/officeDocument/2006/relationships/hyperlink" Target="https://www.dewv.edu/wp-content/uploads/2025/11/Davis-Elkins-College-Policy-Manual-Volume-VI-Student-Life-Policies-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08F39B-6508-4E81-8F20-7EE2F6E57846}">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11</TotalTime>
  <Pages>2</Pages>
  <Words>501</Words>
  <Characters>2860</Characters>
  <Application>Microsoft Office Word</Application>
  <DocSecurity>0</DocSecurity>
  <Lines>23</Lines>
  <Paragraphs>6</Paragraphs>
  <ScaleCrop>false</ScaleCrop>
  <Company>Davis &amp; Elkins College</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Garlick, Katherine M</dc:creator>
  <cp:keywords/>
  <dc:description/>
  <cp:lastModifiedBy>Garlick, Katherine M</cp:lastModifiedBy>
  <cp:revision>7</cp:revision>
  <dcterms:created xsi:type="dcterms:W3CDTF">2026-05-28T13:06:00Z</dcterms:created>
  <dcterms:modified xsi:type="dcterms:W3CDTF">2026-05-28T13:17:00Z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91f9f5ef-882e-4986-96d2-f55a59f11b0b</vt:lpwstr>
  </property>
</Properties>
</file>