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F45D" w14:textId="4BE2AB88" w:rsidR="00822EA8" w:rsidRPr="00822EA8" w:rsidRDefault="00B23756" w:rsidP="00822EA8">
      <w:pPr>
        <w:shd w:val="clear" w:color="auto" w:fill="FFFFFF"/>
        <w:spacing w:after="0" w:line="240" w:lineRule="auto"/>
        <w:jc w:val="center"/>
        <w:rPr>
          <w:rFonts w:ascii="Segoe UI" w:eastAsia="Times New Roman" w:hAnsi="Segoe UI" w:cs="Segoe UI"/>
          <w:color w:val="242424"/>
          <w:sz w:val="23"/>
          <w:szCs w:val="23"/>
        </w:rPr>
      </w:pPr>
      <w:r>
        <w:rPr>
          <w:rFonts w:ascii="Arial" w:eastAsia="Times New Roman" w:hAnsi="Arial" w:cs="Arial"/>
          <w:b/>
          <w:bCs/>
          <w:color w:val="000000"/>
          <w:sz w:val="28"/>
          <w:szCs w:val="28"/>
          <w:bdr w:val="none" w:sz="0" w:space="0" w:color="auto" w:frame="1"/>
        </w:rPr>
        <w:t>Davis &amp; Elkins</w:t>
      </w:r>
      <w:r w:rsidR="00822EA8" w:rsidRPr="00822EA8">
        <w:rPr>
          <w:rFonts w:ascii="Arial" w:eastAsia="Times New Roman" w:hAnsi="Arial" w:cs="Arial"/>
          <w:b/>
          <w:bCs/>
          <w:color w:val="000000"/>
          <w:sz w:val="28"/>
          <w:szCs w:val="28"/>
          <w:bdr w:val="none" w:sz="0" w:space="0" w:color="auto" w:frame="1"/>
        </w:rPr>
        <w:t xml:space="preserve"> College</w:t>
      </w:r>
    </w:p>
    <w:p w14:paraId="56296E99" w14:textId="77777777" w:rsidR="00822EA8" w:rsidRPr="00822EA8" w:rsidRDefault="00822EA8" w:rsidP="00822EA8">
      <w:pPr>
        <w:shd w:val="clear" w:color="auto" w:fill="FFFFFF"/>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8"/>
          <w:szCs w:val="28"/>
          <w:bdr w:val="none" w:sz="0" w:space="0" w:color="auto" w:frame="1"/>
        </w:rPr>
        <w:t>Campus Hazing Transparency Report</w:t>
      </w:r>
    </w:p>
    <w:p w14:paraId="0E84C31E"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163E2015" w14:textId="45C25813"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 xml:space="preserve">Pursuant to the Stop Campus Hazing Act, </w:t>
      </w:r>
      <w:r w:rsidR="00B23756">
        <w:rPr>
          <w:rFonts w:ascii="Arial" w:eastAsia="Times New Roman" w:hAnsi="Arial" w:cs="Arial"/>
          <w:color w:val="000000"/>
          <w:sz w:val="24"/>
          <w:szCs w:val="24"/>
          <w:bdr w:val="none" w:sz="0" w:space="0" w:color="auto" w:frame="1"/>
          <w:shd w:val="clear" w:color="auto" w:fill="FFFFFF"/>
        </w:rPr>
        <w:t xml:space="preserve">Davis &amp; Elkins College </w:t>
      </w:r>
      <w:r w:rsidRPr="00822EA8">
        <w:rPr>
          <w:rFonts w:ascii="Arial" w:eastAsia="Times New Roman" w:hAnsi="Arial" w:cs="Arial"/>
          <w:color w:val="000000"/>
          <w:sz w:val="24"/>
          <w:szCs w:val="24"/>
          <w:bdr w:val="none" w:sz="0" w:space="0" w:color="auto" w:frame="1"/>
          <w:shd w:val="clear" w:color="auto" w:fill="FFFFFF"/>
        </w:rPr>
        <w:t>(</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provides biannual updates summarizing findings related to hazing. Pursuant to Section 485(f) of the Higher Education Act of 1965 (20 U.S.C. 1092(f)),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provides a report of past hazing misconduct involving student organizations, clubs, and athletics teams. Reports of hazing that did not result in a finding of responsibility are not included. Information provided in the report will not include personally identifiable information about specific individuals. Any student organizations under active investigation will not appear on the Campus Hazing Transparency Report until the conclusion of the investigation (and findings of responsibility).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updates this report twice a year and will maintain entries concerning findings of misconduct in this report for 5 years.</w:t>
      </w:r>
    </w:p>
    <w:p w14:paraId="6861725C"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7D6D1E1E" w14:textId="77777777" w:rsidR="00822EA8" w:rsidRPr="00822EA8" w:rsidRDefault="00822EA8" w:rsidP="00822EA8">
      <w:pPr>
        <w:shd w:val="clear" w:color="auto" w:fill="FFFFFF"/>
        <w:spacing w:after="0" w:line="450" w:lineRule="atLeast"/>
        <w:rPr>
          <w:rFonts w:ascii="Segoe UI" w:eastAsia="Times New Roman" w:hAnsi="Segoe UI" w:cs="Segoe UI"/>
          <w:color w:val="242424"/>
          <w:sz w:val="23"/>
          <w:szCs w:val="23"/>
        </w:rPr>
      </w:pPr>
      <w:r w:rsidRPr="00822EA8">
        <w:rPr>
          <w:rFonts w:ascii="Arial" w:eastAsia="Times New Roman" w:hAnsi="Arial" w:cs="Arial"/>
          <w:color w:val="111111"/>
          <w:sz w:val="24"/>
          <w:szCs w:val="24"/>
          <w:bdr w:val="none" w:sz="0" w:space="0" w:color="auto" w:frame="1"/>
          <w:shd w:val="clear" w:color="auto" w:fill="FFFFFF"/>
        </w:rPr>
        <w:t>For each substantiated hazing incident, the following information is provided:</w:t>
      </w:r>
    </w:p>
    <w:p w14:paraId="5E2957E9" w14:textId="0B568F12"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 xml:space="preserve">The name of the student organization, athletic team, or living </w:t>
      </w:r>
      <w:r w:rsidR="00554BE2" w:rsidRPr="00822EA8">
        <w:rPr>
          <w:rFonts w:ascii="Arial" w:eastAsia="Times New Roman" w:hAnsi="Arial" w:cs="Arial"/>
          <w:color w:val="111111"/>
          <w:sz w:val="24"/>
          <w:szCs w:val="24"/>
          <w:bdr w:val="none" w:sz="0" w:space="0" w:color="auto" w:frame="1"/>
          <w:shd w:val="clear" w:color="auto" w:fill="FFFFFF"/>
        </w:rPr>
        <w:t>group.</w:t>
      </w:r>
    </w:p>
    <w:p w14:paraId="731E7EF3"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date the investigation was initiated.</w:t>
      </w:r>
    </w:p>
    <w:p w14:paraId="73F93366"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date on which the investigation ended with a finding that a violation occurred.</w:t>
      </w:r>
    </w:p>
    <w:p w14:paraId="3A35CB76" w14:textId="169D3129"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 xml:space="preserve">A description of the incident or incidents, including the date of the initial violation, and the violations, findings, and sanctions placed on the student organization, athletic team, or living </w:t>
      </w:r>
      <w:r w:rsidR="009147A4" w:rsidRPr="00822EA8">
        <w:rPr>
          <w:rFonts w:ascii="Arial" w:eastAsia="Times New Roman" w:hAnsi="Arial" w:cs="Arial"/>
          <w:color w:val="111111"/>
          <w:sz w:val="24"/>
          <w:szCs w:val="24"/>
          <w:bdr w:val="none" w:sz="0" w:space="0" w:color="auto" w:frame="1"/>
          <w:shd w:val="clear" w:color="auto" w:fill="FFFFFF"/>
        </w:rPr>
        <w:t>group.</w:t>
      </w:r>
    </w:p>
    <w:p w14:paraId="3CCB4E00"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details of the sanction or sanctions imposed, including the beginning and end dates of the sanction or sanctions; and</w:t>
      </w:r>
    </w:p>
    <w:p w14:paraId="5E7C3190"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date that the student organization, athletic team, or living group was charged with a violation.</w:t>
      </w:r>
    </w:p>
    <w:p w14:paraId="5D8639CD"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01645B2C"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Summary of Substantiated Hazing Incidents since July 1, 2025:</w:t>
      </w:r>
    </w:p>
    <w:p w14:paraId="020A5778"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There are no findings of responsibility</w:t>
      </w:r>
    </w:p>
    <w:p w14:paraId="61CA37B6"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25C83166" w14:textId="77777777" w:rsidR="00822EA8" w:rsidRPr="00C00BBA" w:rsidRDefault="00822EA8" w:rsidP="00822EA8">
      <w:pPr>
        <w:shd w:val="clear" w:color="auto" w:fill="FFFFFF"/>
        <w:spacing w:after="0" w:line="240" w:lineRule="auto"/>
        <w:rPr>
          <w:rFonts w:ascii="Segoe UI" w:eastAsia="Times New Roman" w:hAnsi="Segoe UI" w:cs="Segoe UI"/>
          <w:color w:val="242424"/>
          <w:sz w:val="23"/>
          <w:szCs w:val="23"/>
        </w:rPr>
      </w:pPr>
      <w:r w:rsidRPr="00C00BBA">
        <w:rPr>
          <w:rFonts w:ascii="Arial" w:eastAsia="Times New Roman" w:hAnsi="Arial" w:cs="Arial"/>
          <w:b/>
          <w:bCs/>
          <w:color w:val="000000"/>
          <w:sz w:val="24"/>
          <w:szCs w:val="24"/>
          <w:bdr w:val="none" w:sz="0" w:space="0" w:color="auto" w:frame="1"/>
          <w:shd w:val="clear" w:color="auto" w:fill="FFFFFF"/>
        </w:rPr>
        <w:t>Hazing and Organization Misconduct Policy</w:t>
      </w:r>
    </w:p>
    <w:p w14:paraId="0C1BCCFB" w14:textId="6CA68A22"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C00BBA">
        <w:rPr>
          <w:rFonts w:ascii="Arial" w:eastAsia="Times New Roman" w:hAnsi="Arial" w:cs="Arial"/>
          <w:color w:val="000000"/>
          <w:sz w:val="24"/>
          <w:szCs w:val="24"/>
          <w:bdr w:val="none" w:sz="0" w:space="0" w:color="auto" w:frame="1"/>
          <w:shd w:val="clear" w:color="auto" w:fill="FFFFFF"/>
        </w:rPr>
        <w:t>The Hazing and Organization Misconduct policy can be found in the </w:t>
      </w:r>
      <w:hyperlink r:id="rId5" w:tooltip="https://www.wvwc.edu/wp-content/uploads/2025/09/Student-Handbook-Fall-2025.pdf" w:history="1">
        <w:r w:rsidR="00B23756" w:rsidRPr="00C00BBA">
          <w:rPr>
            <w:rFonts w:ascii="Arial" w:eastAsia="Times New Roman" w:hAnsi="Arial" w:cs="Arial"/>
            <w:color w:val="1155CC"/>
            <w:sz w:val="24"/>
            <w:szCs w:val="24"/>
            <w:u w:val="single"/>
            <w:bdr w:val="none" w:sz="0" w:space="0" w:color="auto" w:frame="1"/>
            <w:shd w:val="clear" w:color="auto" w:fill="FFFFFF"/>
          </w:rPr>
          <w:t>D&amp;E</w:t>
        </w:r>
        <w:r w:rsidRPr="00C00BBA">
          <w:rPr>
            <w:rFonts w:ascii="Arial" w:eastAsia="Times New Roman" w:hAnsi="Arial" w:cs="Arial"/>
            <w:color w:val="1155CC"/>
            <w:sz w:val="24"/>
            <w:szCs w:val="24"/>
            <w:u w:val="single"/>
            <w:bdr w:val="none" w:sz="0" w:space="0" w:color="auto" w:frame="1"/>
            <w:shd w:val="clear" w:color="auto" w:fill="FFFFFF"/>
          </w:rPr>
          <w:t xml:space="preserve"> Student Handbook</w:t>
        </w:r>
      </w:hyperlink>
      <w:r w:rsidRPr="00C00BBA">
        <w:rPr>
          <w:rFonts w:ascii="Arial" w:eastAsia="Times New Roman" w:hAnsi="Arial" w:cs="Arial"/>
          <w:color w:val="000000"/>
          <w:sz w:val="24"/>
          <w:szCs w:val="24"/>
          <w:bdr w:val="none" w:sz="0" w:space="0" w:color="auto" w:frame="1"/>
          <w:shd w:val="clear" w:color="auto" w:fill="FFFFFF"/>
        </w:rPr>
        <w:t xml:space="preserve"> on page </w:t>
      </w:r>
      <w:r w:rsidR="00C00BBA" w:rsidRPr="00C00BBA">
        <w:rPr>
          <w:rFonts w:ascii="Arial" w:eastAsia="Times New Roman" w:hAnsi="Arial" w:cs="Arial"/>
          <w:color w:val="000000"/>
          <w:sz w:val="24"/>
          <w:szCs w:val="24"/>
          <w:bdr w:val="none" w:sz="0" w:space="0" w:color="auto" w:frame="1"/>
          <w:shd w:val="clear" w:color="auto" w:fill="FFFFFF"/>
        </w:rPr>
        <w:t>82</w:t>
      </w:r>
      <w:r w:rsidRPr="00C00BBA">
        <w:rPr>
          <w:rFonts w:ascii="Arial" w:eastAsia="Times New Roman" w:hAnsi="Arial" w:cs="Arial"/>
          <w:color w:val="000000"/>
          <w:sz w:val="24"/>
          <w:szCs w:val="24"/>
          <w:bdr w:val="none" w:sz="0" w:space="0" w:color="auto" w:frame="1"/>
          <w:shd w:val="clear" w:color="auto" w:fill="FFFFFF"/>
        </w:rPr>
        <w:t>.</w:t>
      </w:r>
    </w:p>
    <w:p w14:paraId="21937222"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308E37A0"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Hazing Prevention Programming</w:t>
      </w:r>
    </w:p>
    <w:p w14:paraId="5AF8D495" w14:textId="4277AFAB"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 xml:space="preserve">All faculty, staff, and students are required to complete hazing prevention education annually through the Vector Solutions online module system. The course reviews understanding hazing, identifying and reporting hazing, prevention of hazing, and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campus hazing policies. Additionally, all student-athletes and students participating in Greek Life receive additional hazing prevention education, including ethical leadership and bystander intervention strategies. Faculty and staff are provided additional hazing education annually at the campus-wide </w:t>
      </w:r>
      <w:r w:rsidR="00DB4AB7">
        <w:rPr>
          <w:rFonts w:ascii="Arial" w:eastAsia="Times New Roman" w:hAnsi="Arial" w:cs="Arial"/>
          <w:color w:val="000000"/>
          <w:sz w:val="24"/>
          <w:szCs w:val="24"/>
          <w:bdr w:val="none" w:sz="0" w:space="0" w:color="auto" w:frame="1"/>
          <w:shd w:val="clear" w:color="auto" w:fill="FFFFFF"/>
        </w:rPr>
        <w:t>fall semester opening session</w:t>
      </w:r>
      <w:r w:rsidRPr="00822EA8">
        <w:rPr>
          <w:rFonts w:ascii="Arial" w:eastAsia="Times New Roman" w:hAnsi="Arial" w:cs="Arial"/>
          <w:color w:val="000000"/>
          <w:sz w:val="24"/>
          <w:szCs w:val="24"/>
          <w:bdr w:val="none" w:sz="0" w:space="0" w:color="auto" w:frame="1"/>
          <w:shd w:val="clear" w:color="auto" w:fill="FFFFFF"/>
        </w:rPr>
        <w:t>. </w:t>
      </w:r>
    </w:p>
    <w:p w14:paraId="170041B5"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7FE56D9B"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Reporting Hazing</w:t>
      </w:r>
    </w:p>
    <w:p w14:paraId="1FAABDA2" w14:textId="0AC8BEEA" w:rsidR="00822EA8" w:rsidRPr="00822EA8" w:rsidRDefault="00822EA8" w:rsidP="00822EA8">
      <w:pPr>
        <w:shd w:val="clear" w:color="auto" w:fill="FFFFFF"/>
        <w:spacing w:beforeAutospacing="1"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lastRenderedPageBreak/>
        <w:t xml:space="preserve">Any faculty, staff, student, or volunteer of </w:t>
      </w:r>
      <w:r w:rsidR="00522473">
        <w:rPr>
          <w:rFonts w:ascii="Arial" w:eastAsia="Times New Roman" w:hAnsi="Arial" w:cs="Arial"/>
          <w:color w:val="000000"/>
          <w:sz w:val="24"/>
          <w:szCs w:val="24"/>
          <w:bdr w:val="none" w:sz="0" w:space="0" w:color="auto" w:frame="1"/>
          <w:shd w:val="clear" w:color="auto" w:fill="FFFFFF"/>
        </w:rPr>
        <w:t>Davis &amp; Elkins</w:t>
      </w:r>
      <w:r w:rsidRPr="00822EA8">
        <w:rPr>
          <w:rFonts w:ascii="Arial" w:eastAsia="Times New Roman" w:hAnsi="Arial" w:cs="Arial"/>
          <w:color w:val="000000"/>
          <w:sz w:val="24"/>
          <w:szCs w:val="24"/>
          <w:bdr w:val="none" w:sz="0" w:space="0" w:color="auto" w:frame="1"/>
          <w:shd w:val="clear" w:color="auto" w:fill="FFFFFF"/>
        </w:rPr>
        <w:t xml:space="preserve"> College, with knowledge or suspicion of hazing or other organization misconduct, is expected to report the activity to appropriate officials as indicated below or complete the </w:t>
      </w:r>
      <w:hyperlink r:id="rId6" w:tooltip="https://wvwc.guardianconduct.com/conduct-incidents" w:history="1">
        <w:r w:rsidRPr="00E21CBA">
          <w:rPr>
            <w:rFonts w:ascii="Arial" w:eastAsia="Times New Roman" w:hAnsi="Arial" w:cs="Arial"/>
            <w:color w:val="1155CC"/>
            <w:sz w:val="24"/>
            <w:szCs w:val="24"/>
            <w:u w:val="single"/>
            <w:bdr w:val="none" w:sz="0" w:space="0" w:color="auto" w:frame="1"/>
            <w:shd w:val="clear" w:color="auto" w:fill="FFFFFF"/>
          </w:rPr>
          <w:t>Hazing and Organization Misconduct Reporting Form</w:t>
        </w:r>
      </w:hyperlink>
      <w:r w:rsidRPr="00E21CBA">
        <w:rPr>
          <w:rFonts w:ascii="Arial" w:eastAsia="Times New Roman" w:hAnsi="Arial" w:cs="Arial"/>
          <w:color w:val="000000"/>
          <w:sz w:val="24"/>
          <w:szCs w:val="24"/>
          <w:bdr w:val="none" w:sz="0" w:space="0" w:color="auto" w:frame="1"/>
          <w:shd w:val="clear" w:color="auto" w:fill="FFFFFF"/>
        </w:rPr>
        <w:t>.</w:t>
      </w:r>
    </w:p>
    <w:tbl>
      <w:tblPr>
        <w:tblW w:w="0" w:type="auto"/>
        <w:shd w:val="clear" w:color="auto" w:fill="FFFFFF"/>
        <w:tblCellMar>
          <w:left w:w="0" w:type="dxa"/>
          <w:right w:w="0" w:type="dxa"/>
        </w:tblCellMar>
        <w:tblLook w:val="04A0" w:firstRow="1" w:lastRow="0" w:firstColumn="1" w:lastColumn="0" w:noHBand="0" w:noVBand="1"/>
      </w:tblPr>
      <w:tblGrid>
        <w:gridCol w:w="2869"/>
        <w:gridCol w:w="2027"/>
      </w:tblGrid>
      <w:tr w:rsidR="00822EA8" w:rsidRPr="00822EA8" w14:paraId="0DF5A3FF" w14:textId="77777777" w:rsidTr="00822EA8">
        <w:trPr>
          <w:trHeight w:val="705"/>
          <w:tblHeader/>
        </w:trPr>
        <w:tc>
          <w:tcPr>
            <w:tcW w:w="0" w:type="auto"/>
            <w:tcBorders>
              <w:top w:val="nil"/>
              <w:left w:val="nil"/>
              <w:bottom w:val="single" w:sz="8" w:space="0" w:color="000000"/>
              <w:right w:val="nil"/>
            </w:tcBorders>
            <w:shd w:val="clear" w:color="auto" w:fill="F9FAFB"/>
            <w:tcMar>
              <w:top w:w="200" w:type="dxa"/>
              <w:left w:w="160" w:type="dxa"/>
              <w:bottom w:w="200" w:type="dxa"/>
              <w:right w:w="160" w:type="dxa"/>
            </w:tcMar>
            <w:vAlign w:val="center"/>
            <w:hideMark/>
          </w:tcPr>
          <w:p w14:paraId="7439C019"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Office/Department</w:t>
            </w:r>
          </w:p>
        </w:tc>
        <w:tc>
          <w:tcPr>
            <w:tcW w:w="0" w:type="auto"/>
            <w:tcBorders>
              <w:top w:val="nil"/>
              <w:left w:val="nil"/>
              <w:bottom w:val="single" w:sz="8" w:space="0" w:color="000000"/>
              <w:right w:val="nil"/>
            </w:tcBorders>
            <w:shd w:val="clear" w:color="auto" w:fill="F9FAFB"/>
            <w:tcMar>
              <w:top w:w="200" w:type="dxa"/>
              <w:left w:w="160" w:type="dxa"/>
              <w:bottom w:w="200" w:type="dxa"/>
              <w:right w:w="160" w:type="dxa"/>
            </w:tcMar>
            <w:vAlign w:val="center"/>
            <w:hideMark/>
          </w:tcPr>
          <w:p w14:paraId="668B6D86"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Phone Number</w:t>
            </w:r>
          </w:p>
        </w:tc>
      </w:tr>
      <w:tr w:rsidR="00822EA8" w:rsidRPr="00822EA8" w14:paraId="41BED640" w14:textId="77777777" w:rsidTr="00822EA8">
        <w:trPr>
          <w:trHeight w:val="630"/>
          <w:tblHeader/>
        </w:trPr>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23A119D9"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Campus Safety</w:t>
            </w:r>
          </w:p>
        </w:tc>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766953C0" w14:textId="77C987ED"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304-</w:t>
            </w:r>
            <w:r w:rsidR="00CC0A06">
              <w:rPr>
                <w:rFonts w:ascii="Arial" w:eastAsia="Times New Roman" w:hAnsi="Arial" w:cs="Arial"/>
                <w:color w:val="000000"/>
                <w:sz w:val="24"/>
                <w:szCs w:val="24"/>
                <w:bdr w:val="none" w:sz="0" w:space="0" w:color="auto" w:frame="1"/>
                <w:shd w:val="clear" w:color="auto" w:fill="FFFFFF"/>
              </w:rPr>
              <w:t>704-9111</w:t>
            </w:r>
          </w:p>
        </w:tc>
      </w:tr>
      <w:tr w:rsidR="00822EA8" w:rsidRPr="00822EA8" w14:paraId="1DCF8EEE" w14:textId="77777777" w:rsidTr="00822EA8">
        <w:trPr>
          <w:trHeight w:val="645"/>
          <w:tblHeader/>
        </w:trPr>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512E257F"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Dean of Students Office</w:t>
            </w:r>
          </w:p>
        </w:tc>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72616794" w14:textId="31C267F3"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304-</w:t>
            </w:r>
            <w:r w:rsidR="00CC0A06">
              <w:rPr>
                <w:rFonts w:ascii="Arial" w:eastAsia="Times New Roman" w:hAnsi="Arial" w:cs="Arial"/>
                <w:color w:val="000000"/>
                <w:sz w:val="24"/>
                <w:szCs w:val="24"/>
                <w:bdr w:val="none" w:sz="0" w:space="0" w:color="auto" w:frame="1"/>
                <w:shd w:val="clear" w:color="auto" w:fill="FFFFFF"/>
              </w:rPr>
              <w:t>637-1211</w:t>
            </w:r>
          </w:p>
        </w:tc>
      </w:tr>
      <w:tr w:rsidR="00822EA8" w:rsidRPr="00822EA8" w14:paraId="0379672B" w14:textId="77777777" w:rsidTr="00822EA8">
        <w:trPr>
          <w:trHeight w:val="645"/>
        </w:trPr>
        <w:tc>
          <w:tcPr>
            <w:tcW w:w="0" w:type="auto"/>
            <w:tcBorders>
              <w:top w:val="nil"/>
              <w:left w:val="nil"/>
              <w:bottom w:val="nil"/>
              <w:right w:val="nil"/>
            </w:tcBorders>
            <w:shd w:val="clear" w:color="auto" w:fill="FFFFFF"/>
            <w:tcMar>
              <w:top w:w="160" w:type="dxa"/>
              <w:left w:w="160" w:type="dxa"/>
              <w:bottom w:w="160" w:type="dxa"/>
              <w:right w:w="160" w:type="dxa"/>
            </w:tcMar>
            <w:vAlign w:val="center"/>
            <w:hideMark/>
          </w:tcPr>
          <w:p w14:paraId="3EAB052C" w14:textId="77777777" w:rsidR="00822EA8" w:rsidRPr="00822EA8" w:rsidRDefault="00822EA8" w:rsidP="00822EA8">
            <w:pPr>
              <w:spacing w:after="0" w:line="240" w:lineRule="auto"/>
              <w:rPr>
                <w:rFonts w:ascii="Segoe UI" w:eastAsia="Times New Roman" w:hAnsi="Segoe UI" w:cs="Segoe UI"/>
                <w:color w:val="242424"/>
                <w:sz w:val="23"/>
                <w:szCs w:val="23"/>
              </w:rPr>
            </w:pPr>
          </w:p>
        </w:tc>
        <w:tc>
          <w:tcPr>
            <w:tcW w:w="0" w:type="auto"/>
            <w:tcBorders>
              <w:top w:val="nil"/>
              <w:left w:val="nil"/>
              <w:bottom w:val="nil"/>
              <w:right w:val="nil"/>
            </w:tcBorders>
            <w:shd w:val="clear" w:color="auto" w:fill="FFFFFF"/>
            <w:tcMar>
              <w:top w:w="160" w:type="dxa"/>
              <w:left w:w="160" w:type="dxa"/>
              <w:bottom w:w="160" w:type="dxa"/>
              <w:right w:w="160" w:type="dxa"/>
            </w:tcMar>
            <w:vAlign w:val="center"/>
            <w:hideMark/>
          </w:tcPr>
          <w:p w14:paraId="41F2321D" w14:textId="77777777" w:rsidR="00822EA8" w:rsidRPr="00822EA8" w:rsidRDefault="00822EA8" w:rsidP="00822EA8">
            <w:pPr>
              <w:spacing w:after="0" w:line="240" w:lineRule="auto"/>
              <w:rPr>
                <w:rFonts w:ascii="Times New Roman" w:eastAsia="Times New Roman" w:hAnsi="Times New Roman" w:cs="Times New Roman"/>
                <w:sz w:val="20"/>
                <w:szCs w:val="20"/>
              </w:rPr>
            </w:pPr>
          </w:p>
        </w:tc>
      </w:tr>
    </w:tbl>
    <w:p w14:paraId="63778DEC"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br/>
      </w:r>
      <w:r w:rsidRPr="00822EA8">
        <w:rPr>
          <w:rFonts w:ascii="Arial" w:eastAsia="Times New Roman" w:hAnsi="Arial" w:cs="Arial"/>
          <w:b/>
          <w:bCs/>
          <w:color w:val="000000"/>
          <w:sz w:val="24"/>
          <w:szCs w:val="24"/>
          <w:bdr w:val="none" w:sz="0" w:space="0" w:color="auto" w:frame="1"/>
          <w:shd w:val="clear" w:color="auto" w:fill="FFFFFF"/>
        </w:rPr>
        <w:t>Report published: </w:t>
      </w:r>
      <w:r w:rsidRPr="00822EA8">
        <w:rPr>
          <w:rFonts w:ascii="Arial" w:eastAsia="Times New Roman" w:hAnsi="Arial" w:cs="Arial"/>
          <w:color w:val="000000"/>
          <w:sz w:val="24"/>
          <w:szCs w:val="24"/>
          <w:bdr w:val="none" w:sz="0" w:space="0" w:color="auto" w:frame="1"/>
          <w:shd w:val="clear" w:color="auto" w:fill="FFFFFF"/>
        </w:rPr>
        <w:t> December 1, 2025</w:t>
      </w:r>
    </w:p>
    <w:p w14:paraId="5E0027BA" w14:textId="77777777" w:rsidR="004751C6" w:rsidRDefault="004751C6"/>
    <w:sectPr w:rsidR="00475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11214"/>
    <w:multiLevelType w:val="multilevel"/>
    <w:tmpl w:val="889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949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A8"/>
    <w:rsid w:val="00050D29"/>
    <w:rsid w:val="00323F18"/>
    <w:rsid w:val="0046394F"/>
    <w:rsid w:val="004751C6"/>
    <w:rsid w:val="00522473"/>
    <w:rsid w:val="00554BE2"/>
    <w:rsid w:val="005F4F6B"/>
    <w:rsid w:val="00822EA8"/>
    <w:rsid w:val="009147A4"/>
    <w:rsid w:val="00B23756"/>
    <w:rsid w:val="00C00BBA"/>
    <w:rsid w:val="00CC0A06"/>
    <w:rsid w:val="00DB4AB7"/>
    <w:rsid w:val="00E2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93A7"/>
  <w15:chartTrackingRefBased/>
  <w15:docId w15:val="{70C8991A-D6FF-4A0E-B6A9-C3970FE1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E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2E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2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v.guardianconduct.com/incident-reporting/new" TargetMode="External"/><Relationship Id="rId5" Type="http://schemas.openxmlformats.org/officeDocument/2006/relationships/hyperlink" Target="https://www.dewv.edu/wp-content/uploads/2025/11/Davis-Elkins-College-Policy-Manual-Volume-VI-Student-Life-Policies-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08F39B-6508-4E81-8F20-7EE2F6E5784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2</Pages>
  <Words>486</Words>
  <Characters>2773</Characters>
  <Application>Microsoft Office Word</Application>
  <DocSecurity>0</DocSecurity>
  <Lines>23</Lines>
  <Paragraphs>6</Paragraphs>
  <ScaleCrop>false</ScaleCrop>
  <Company>Davis &amp; Elkins College</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Garlick, Katherine M</dc:creator>
  <cp:keywords/>
  <dc:description/>
  <cp:lastModifiedBy>Garlick, Katherine M</cp:lastModifiedBy>
  <cp:revision>12</cp:revision>
  <dcterms:created xsi:type="dcterms:W3CDTF">2025-11-17T21:28:00Z</dcterms:created>
  <dcterms:modified xsi:type="dcterms:W3CDTF">2025-11-24T15:52:00Z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91f9f5ef-882e-4986-96d2-f55a59f11b0b</vt:lpwstr>
  </property>
</Properties>
</file>