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2006B" w14:textId="77777777" w:rsidR="004C25C5" w:rsidRDefault="004C25C5" w:rsidP="00A877AE">
      <w:pPr>
        <w:tabs>
          <w:tab w:val="left" w:pos="360"/>
          <w:tab w:val="left" w:pos="720"/>
          <w:tab w:val="left" w:pos="990"/>
        </w:tabs>
        <w:ind w:right="-27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0D72CC6" wp14:editId="59C46D93">
            <wp:extent cx="3406166" cy="9152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945" cy="91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F0384" w14:textId="77777777" w:rsidR="004C25C5" w:rsidRDefault="004C25C5" w:rsidP="00A877AE">
      <w:pPr>
        <w:tabs>
          <w:tab w:val="left" w:pos="360"/>
          <w:tab w:val="left" w:pos="720"/>
          <w:tab w:val="left" w:pos="990"/>
        </w:tabs>
        <w:ind w:right="-27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6BB601F" w14:textId="5FAC92F7" w:rsidR="00A877AE" w:rsidRPr="0000244E" w:rsidRDefault="00A877AE" w:rsidP="00A877AE">
      <w:pPr>
        <w:tabs>
          <w:tab w:val="left" w:pos="360"/>
          <w:tab w:val="left" w:pos="720"/>
          <w:tab w:val="left" w:pos="990"/>
        </w:tabs>
        <w:ind w:right="-27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00244E">
        <w:rPr>
          <w:rFonts w:asciiTheme="minorHAnsi" w:hAnsiTheme="minorHAnsi" w:cstheme="minorHAnsi"/>
          <w:b/>
          <w:sz w:val="32"/>
          <w:szCs w:val="32"/>
          <w:u w:val="single"/>
        </w:rPr>
        <w:t>Public Disclosure of Student Achievement</w:t>
      </w:r>
    </w:p>
    <w:p w14:paraId="4D63488C" w14:textId="77777777"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14:paraId="43ABE933" w14:textId="2AEA4EC4" w:rsidR="00A877AE" w:rsidRPr="00C45BEF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sz w:val="24"/>
          <w:szCs w:val="24"/>
        </w:rPr>
      </w:pPr>
      <w:bookmarkStart w:id="1" w:name="_Hlk493765202"/>
      <w:r w:rsidRPr="00A877AE">
        <w:rPr>
          <w:rFonts w:asciiTheme="minorHAnsi" w:hAnsiTheme="minorHAnsi" w:cstheme="minorHAnsi"/>
          <w:b/>
          <w:sz w:val="24"/>
          <w:szCs w:val="24"/>
        </w:rPr>
        <w:t>Institution Name:</w:t>
      </w:r>
      <w:r w:rsidR="00F34E31">
        <w:rPr>
          <w:rFonts w:asciiTheme="minorHAnsi" w:hAnsiTheme="minorHAnsi" w:cstheme="minorHAnsi"/>
          <w:b/>
          <w:sz w:val="24"/>
          <w:szCs w:val="24"/>
        </w:rPr>
        <w:t xml:space="preserve"> Davis &amp; Elkins College</w:t>
      </w:r>
    </w:p>
    <w:p w14:paraId="351E1A14" w14:textId="77777777"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EDB2EDB" w14:textId="1314EE76" w:rsidR="00A877AE" w:rsidRPr="00C45BEF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sz w:val="24"/>
          <w:szCs w:val="24"/>
        </w:rPr>
      </w:pPr>
      <w:r w:rsidRPr="00A877AE">
        <w:rPr>
          <w:rFonts w:asciiTheme="minorHAnsi" w:hAnsiTheme="minorHAnsi" w:cstheme="minorHAnsi"/>
          <w:b/>
          <w:sz w:val="24"/>
          <w:szCs w:val="24"/>
        </w:rPr>
        <w:t xml:space="preserve">Business </w:t>
      </w:r>
      <w:r>
        <w:rPr>
          <w:rFonts w:asciiTheme="minorHAnsi" w:hAnsiTheme="minorHAnsi" w:cstheme="minorHAnsi"/>
          <w:b/>
          <w:sz w:val="24"/>
          <w:szCs w:val="24"/>
        </w:rPr>
        <w:t>Unit(s) included in this report:</w:t>
      </w:r>
      <w:r w:rsidR="00A57DFD">
        <w:rPr>
          <w:rFonts w:asciiTheme="minorHAnsi" w:hAnsiTheme="minorHAnsi" w:cstheme="minorHAnsi"/>
          <w:b/>
          <w:sz w:val="24"/>
          <w:szCs w:val="24"/>
        </w:rPr>
        <w:t xml:space="preserve"> Division of Business &amp; Entrepreneurship</w:t>
      </w:r>
    </w:p>
    <w:p w14:paraId="19A16D3D" w14:textId="77777777"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14:paraId="60E8834B" w14:textId="68F17502" w:rsidR="00A877AE" w:rsidRPr="00C45BEF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Academic Period Covered:</w:t>
      </w:r>
      <w:r w:rsidR="0000244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57DFD">
        <w:rPr>
          <w:rFonts w:asciiTheme="minorHAnsi" w:hAnsiTheme="minorHAnsi" w:cstheme="minorHAnsi"/>
          <w:b/>
          <w:sz w:val="24"/>
          <w:szCs w:val="24"/>
        </w:rPr>
        <w:t>202</w:t>
      </w:r>
      <w:r w:rsidR="00DE72F2">
        <w:rPr>
          <w:rFonts w:asciiTheme="minorHAnsi" w:hAnsiTheme="minorHAnsi" w:cstheme="minorHAnsi"/>
          <w:b/>
          <w:sz w:val="24"/>
          <w:szCs w:val="24"/>
        </w:rPr>
        <w:t>2</w:t>
      </w:r>
      <w:r w:rsidR="00A57DFD">
        <w:rPr>
          <w:rFonts w:asciiTheme="minorHAnsi" w:hAnsiTheme="minorHAnsi" w:cstheme="minorHAnsi"/>
          <w:b/>
          <w:sz w:val="24"/>
          <w:szCs w:val="24"/>
        </w:rPr>
        <w:t>-202</w:t>
      </w:r>
      <w:r w:rsidR="00DE72F2">
        <w:rPr>
          <w:rFonts w:asciiTheme="minorHAnsi" w:hAnsiTheme="minorHAnsi" w:cstheme="minorHAnsi"/>
          <w:b/>
          <w:sz w:val="24"/>
          <w:szCs w:val="24"/>
        </w:rPr>
        <w:t>3</w:t>
      </w:r>
    </w:p>
    <w:p w14:paraId="5301AEAF" w14:textId="77777777" w:rsidR="00C45BEF" w:rsidRDefault="00C45BEF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14:paraId="029752A2" w14:textId="642DD089" w:rsidR="00C45BEF" w:rsidRPr="00A877AE" w:rsidRDefault="00C45BEF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  <w:r w:rsidRPr="007167BC">
        <w:rPr>
          <w:rFonts w:asciiTheme="minorHAnsi" w:hAnsiTheme="minorHAnsi" w:cstheme="minorHAnsi"/>
          <w:b/>
          <w:sz w:val="24"/>
          <w:szCs w:val="24"/>
        </w:rPr>
        <w:t xml:space="preserve">Date </w:t>
      </w:r>
      <w:r w:rsidR="0000244E">
        <w:rPr>
          <w:rFonts w:asciiTheme="minorHAnsi" w:hAnsiTheme="minorHAnsi" w:cstheme="minorHAnsi"/>
          <w:b/>
          <w:sz w:val="24"/>
          <w:szCs w:val="24"/>
        </w:rPr>
        <w:t>Report Posted</w:t>
      </w:r>
      <w:r w:rsidRPr="007167BC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F34E31" w:rsidRPr="00F34E31">
        <w:rPr>
          <w:rFonts w:asciiTheme="minorHAnsi" w:hAnsiTheme="minorHAnsi" w:cstheme="minorHAnsi"/>
          <w:b/>
          <w:sz w:val="24"/>
          <w:szCs w:val="24"/>
        </w:rPr>
        <w:t>January 17, 2024</w:t>
      </w:r>
    </w:p>
    <w:bookmarkEnd w:id="1"/>
    <w:p w14:paraId="63BB53A7" w14:textId="77777777" w:rsidR="0005236E" w:rsidRPr="0005236E" w:rsidRDefault="0005236E" w:rsidP="0005236E">
      <w:pPr>
        <w:tabs>
          <w:tab w:val="left" w:pos="900"/>
        </w:tabs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W w:w="93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765"/>
        <w:gridCol w:w="2520"/>
        <w:gridCol w:w="1530"/>
        <w:gridCol w:w="1515"/>
      </w:tblGrid>
      <w:tr w:rsidR="00B01FF7" w:rsidRPr="0005236E" w14:paraId="0EEBDBFB" w14:textId="77777777" w:rsidTr="0000244E">
        <w:trPr>
          <w:trHeight w:val="576"/>
          <w:jc w:val="center"/>
        </w:trPr>
        <w:tc>
          <w:tcPr>
            <w:tcW w:w="376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851A9C" w14:textId="77777777" w:rsidR="00B01FF7" w:rsidRPr="006059C8" w:rsidRDefault="00B01FF7" w:rsidP="00240F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59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AA8EB" w14:textId="543DAE11" w:rsidR="00B01FF7" w:rsidRPr="006059C8" w:rsidRDefault="006059C8" w:rsidP="00240F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59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MEASURE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BE9635" w14:textId="6A57D736" w:rsidR="00B01FF7" w:rsidRPr="0005236E" w:rsidRDefault="0000244E" w:rsidP="0000244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TARGET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0EF579" w14:textId="14450431" w:rsidR="00B01FF7" w:rsidRPr="0005236E" w:rsidRDefault="00B01FF7" w:rsidP="0005236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236E">
              <w:rPr>
                <w:rFonts w:asciiTheme="minorHAnsi" w:hAnsiTheme="minorHAnsi" w:cstheme="minorHAnsi"/>
                <w:b/>
                <w:sz w:val="24"/>
                <w:szCs w:val="24"/>
              </w:rPr>
              <w:t>RESULT</w:t>
            </w:r>
          </w:p>
        </w:tc>
      </w:tr>
      <w:tr w:rsidR="00B01FF7" w:rsidRPr="0005236E" w14:paraId="0A0349A1" w14:textId="77777777" w:rsidTr="0000244E">
        <w:trPr>
          <w:trHeight w:val="346"/>
          <w:jc w:val="center"/>
        </w:trPr>
        <w:tc>
          <w:tcPr>
            <w:tcW w:w="376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62E86E" w14:textId="18B0A944" w:rsidR="00B01FF7" w:rsidRPr="0005236E" w:rsidRDefault="001F5E15" w:rsidP="00240F47">
            <w:pPr>
              <w:spacing w:before="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Bachelor pf Science-Accounting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7B78F0" w14:textId="0F72BE51" w:rsidR="00B01FF7" w:rsidRPr="0005236E" w:rsidRDefault="001F5E15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Graduation Rate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B13794" w14:textId="49A08C05" w:rsidR="00B01FF7" w:rsidRPr="0005236E" w:rsidRDefault="00BF3F43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50%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5DB52C6" w14:textId="2E0F99E3" w:rsidR="00B01FF7" w:rsidRPr="0005236E" w:rsidRDefault="00723319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50%</w:t>
            </w:r>
          </w:p>
        </w:tc>
      </w:tr>
      <w:tr w:rsidR="00B01FF7" w:rsidRPr="0005236E" w14:paraId="55BBB545" w14:textId="77777777" w:rsidTr="0000244E">
        <w:trPr>
          <w:jc w:val="center"/>
        </w:trPr>
        <w:tc>
          <w:tcPr>
            <w:tcW w:w="376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2C54D8" w14:textId="42C37D01" w:rsidR="00B01FF7" w:rsidRPr="0005236E" w:rsidRDefault="001F5E15" w:rsidP="00240F47">
            <w:pPr>
              <w:spacing w:before="60" w:after="60"/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Bachelor of Science-Economics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BFB484" w14:textId="2266C2F8" w:rsidR="00B01FF7" w:rsidRPr="0005236E" w:rsidRDefault="001F5E15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Graduation Rate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EF66637" w14:textId="7D6B2A31" w:rsidR="00B01FF7" w:rsidRPr="0005236E" w:rsidRDefault="00BF3F43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50%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B7D01D3" w14:textId="278F77BA" w:rsidR="00B01FF7" w:rsidRPr="0005236E" w:rsidRDefault="00723319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B01FF7" w:rsidRPr="0005236E" w14:paraId="4E298BE5" w14:textId="77777777" w:rsidTr="0000244E">
        <w:trPr>
          <w:jc w:val="center"/>
        </w:trPr>
        <w:tc>
          <w:tcPr>
            <w:tcW w:w="376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260C0F" w14:textId="4D2FF6EB" w:rsidR="00B01FF7" w:rsidRPr="0005236E" w:rsidRDefault="001F5E15" w:rsidP="00240F47">
            <w:pPr>
              <w:spacing w:before="60" w:after="60"/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Bachelor of Science-Finance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A955D1" w14:textId="7F05BEA7" w:rsidR="00B01FF7" w:rsidRPr="0005236E" w:rsidRDefault="001F5E15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Graduation Rate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40B5257" w14:textId="62878D96" w:rsidR="00B01FF7" w:rsidRPr="0005236E" w:rsidRDefault="00BF3F43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50%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64E1FE0" w14:textId="43B05AB5" w:rsidR="00B01FF7" w:rsidRPr="0005236E" w:rsidRDefault="00F34E31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B01FF7" w:rsidRPr="0005236E" w14:paraId="64125B99" w14:textId="77777777" w:rsidTr="0000244E">
        <w:trPr>
          <w:jc w:val="center"/>
        </w:trPr>
        <w:tc>
          <w:tcPr>
            <w:tcW w:w="376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B28FD0" w14:textId="77777777" w:rsidR="00B01FF7" w:rsidRDefault="001F5E15" w:rsidP="00240F47">
            <w:pPr>
              <w:spacing w:before="60" w:after="60"/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Bachelor of Science-Hospitality </w:t>
            </w:r>
          </w:p>
          <w:p w14:paraId="2AE8C0E3" w14:textId="26E999F7" w:rsidR="001F5E15" w:rsidRPr="0005236E" w:rsidRDefault="001F5E15" w:rsidP="00240F47">
            <w:pPr>
              <w:spacing w:before="60" w:after="60"/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Management &amp; Tourism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3C7F22" w14:textId="283BA6DE" w:rsidR="00B01FF7" w:rsidRPr="0005236E" w:rsidRDefault="00723319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Graduation Rate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8614B5B" w14:textId="31E44CF7" w:rsidR="00B01FF7" w:rsidRPr="0005236E" w:rsidRDefault="00BF3F43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50%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E61DCF" w14:textId="7E130E8C" w:rsidR="00B01FF7" w:rsidRPr="0005236E" w:rsidRDefault="00723319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100%</w:t>
            </w:r>
          </w:p>
        </w:tc>
      </w:tr>
      <w:tr w:rsidR="00B01FF7" w:rsidRPr="0005236E" w14:paraId="652B9D9B" w14:textId="77777777" w:rsidTr="0000244E">
        <w:trPr>
          <w:jc w:val="center"/>
        </w:trPr>
        <w:tc>
          <w:tcPr>
            <w:tcW w:w="376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50EEC6" w14:textId="4A5F0C31" w:rsidR="001F5E15" w:rsidRPr="0005236E" w:rsidRDefault="001F5E15" w:rsidP="00240F47">
            <w:pPr>
              <w:spacing w:before="60" w:after="60"/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Bachelor of Science Management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E4F4E0" w14:textId="137D6227" w:rsidR="00B01FF7" w:rsidRPr="0005236E" w:rsidRDefault="00723319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Graduation Rate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CF94EF7" w14:textId="3CC80DFB" w:rsidR="00B01FF7" w:rsidRPr="0005236E" w:rsidRDefault="00BF3F43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50%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0931223" w14:textId="45BC541E" w:rsidR="00B01FF7" w:rsidRPr="0005236E" w:rsidRDefault="00F34E31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723319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</w:tr>
      <w:tr w:rsidR="00B01FF7" w:rsidRPr="0005236E" w14:paraId="7AA3A045" w14:textId="77777777" w:rsidTr="0000244E">
        <w:trPr>
          <w:jc w:val="center"/>
        </w:trPr>
        <w:tc>
          <w:tcPr>
            <w:tcW w:w="376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4A3BCB" w14:textId="4F6F4B55" w:rsidR="00B01FF7" w:rsidRPr="0005236E" w:rsidRDefault="00723319" w:rsidP="00240F47">
            <w:pPr>
              <w:spacing w:before="60" w:after="60"/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Bachelor of Science-Marketing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E4B796" w14:textId="4C2B266E" w:rsidR="00B01FF7" w:rsidRPr="0005236E" w:rsidRDefault="00723319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Graduation Rate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3D90F5F" w14:textId="3CAD1BDF" w:rsidR="00B01FF7" w:rsidRPr="0005236E" w:rsidRDefault="00BF3F43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50%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063AAFE" w14:textId="7BA9D9E9" w:rsidR="00B01FF7" w:rsidRPr="0005236E" w:rsidRDefault="00723319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B01FF7" w:rsidRPr="0005236E" w14:paraId="4D1170F1" w14:textId="77777777" w:rsidTr="0000244E">
        <w:trPr>
          <w:jc w:val="center"/>
        </w:trPr>
        <w:tc>
          <w:tcPr>
            <w:tcW w:w="376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487AA3" w14:textId="36B7AB83" w:rsidR="00B01FF7" w:rsidRPr="0005236E" w:rsidRDefault="00723319" w:rsidP="00240F47">
            <w:pPr>
              <w:spacing w:before="60" w:after="60"/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Overall Business Unit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95BDEB" w14:textId="039837A3" w:rsidR="00B01FF7" w:rsidRPr="0005236E" w:rsidRDefault="00A57DFD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Graduation Rates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4223B1E" w14:textId="72A3BC24" w:rsidR="00B01FF7" w:rsidRPr="0005236E" w:rsidRDefault="00BF3F43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50%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A3C034" w14:textId="577A97E3" w:rsidR="00B01FF7" w:rsidRPr="0005236E" w:rsidRDefault="00F34E31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34.5</w:t>
            </w:r>
            <w:r w:rsidR="00723319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</w:tr>
      <w:tr w:rsidR="00B01FF7" w:rsidRPr="0005236E" w14:paraId="4057E983" w14:textId="77777777" w:rsidTr="0000244E">
        <w:trPr>
          <w:jc w:val="center"/>
        </w:trPr>
        <w:tc>
          <w:tcPr>
            <w:tcW w:w="376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26B687" w14:textId="77777777" w:rsidR="00B01FF7" w:rsidRPr="0005236E" w:rsidRDefault="00B01FF7" w:rsidP="0005236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351EE1" w14:textId="77777777" w:rsidR="00B01FF7" w:rsidRPr="0005236E" w:rsidRDefault="00B01FF7" w:rsidP="00240F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BF4D4B5" w14:textId="77777777" w:rsidR="00B01FF7" w:rsidRPr="0005236E" w:rsidRDefault="00B01FF7" w:rsidP="00240F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1EE5C4D" w14:textId="0EEFAE0D" w:rsidR="00B01FF7" w:rsidRPr="0005236E" w:rsidRDefault="00B01FF7" w:rsidP="00240F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1FF7" w:rsidRPr="0005236E" w14:paraId="40223713" w14:textId="77777777" w:rsidTr="0000244E">
        <w:trPr>
          <w:jc w:val="center"/>
        </w:trPr>
        <w:tc>
          <w:tcPr>
            <w:tcW w:w="376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A623E1" w14:textId="77777777" w:rsidR="00B01FF7" w:rsidRPr="0005236E" w:rsidRDefault="00B01FF7" w:rsidP="00240F47">
            <w:pPr>
              <w:spacing w:before="60" w:after="60"/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BB27B0" w14:textId="77777777" w:rsidR="00B01FF7" w:rsidRPr="0005236E" w:rsidRDefault="00B01FF7" w:rsidP="00240F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E0786F" w14:textId="77777777" w:rsidR="00B01FF7" w:rsidRPr="0005236E" w:rsidRDefault="00B01FF7" w:rsidP="00240F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EE4037" w14:textId="46370C52" w:rsidR="00B01FF7" w:rsidRPr="0005236E" w:rsidRDefault="00B01FF7" w:rsidP="00240F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BA7BD79" w14:textId="77777777" w:rsidR="0061140E" w:rsidRDefault="006005C6">
      <w:pPr>
        <w:rPr>
          <w:rFonts w:asciiTheme="minorHAnsi" w:hAnsiTheme="minorHAnsi" w:cstheme="minorHAnsi"/>
          <w:sz w:val="24"/>
          <w:szCs w:val="24"/>
        </w:rPr>
      </w:pPr>
    </w:p>
    <w:p w14:paraId="6D1CC889" w14:textId="77777777" w:rsidR="0005236E" w:rsidRDefault="0005236E">
      <w:pPr>
        <w:rPr>
          <w:rFonts w:asciiTheme="minorHAnsi" w:hAnsiTheme="minorHAnsi" w:cstheme="minorHAnsi"/>
          <w:sz w:val="24"/>
          <w:szCs w:val="24"/>
        </w:rPr>
      </w:pPr>
    </w:p>
    <w:p w14:paraId="04461A19" w14:textId="63EF5BDB" w:rsidR="0005236E" w:rsidRPr="0005236E" w:rsidRDefault="006059C8" w:rsidP="0005236E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Calculations for Measures </w:t>
      </w:r>
    </w:p>
    <w:p w14:paraId="1063DAF8" w14:textId="77777777" w:rsidR="0005236E" w:rsidRDefault="0005236E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3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55"/>
        <w:gridCol w:w="6390"/>
      </w:tblGrid>
      <w:tr w:rsidR="0005236E" w:rsidRPr="0005236E" w14:paraId="22655071" w14:textId="77777777" w:rsidTr="0000244E">
        <w:trPr>
          <w:trHeight w:val="576"/>
          <w:jc w:val="center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4242C" w14:textId="365150DD" w:rsidR="0005236E" w:rsidRPr="0005236E" w:rsidRDefault="006059C8" w:rsidP="00240F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MEASURE</w:t>
            </w:r>
          </w:p>
        </w:tc>
        <w:tc>
          <w:tcPr>
            <w:tcW w:w="6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7CA226" w14:textId="77777777" w:rsidR="0005236E" w:rsidRPr="0005236E" w:rsidRDefault="0005236E" w:rsidP="00240F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DESCRIPTION AND HOW IT WAS CALCULATED</w:t>
            </w:r>
          </w:p>
        </w:tc>
      </w:tr>
      <w:tr w:rsidR="0005236E" w:rsidRPr="0005236E" w14:paraId="17337671" w14:textId="77777777" w:rsidTr="0000244E">
        <w:trPr>
          <w:trHeight w:val="346"/>
          <w:jc w:val="center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CBC137" w14:textId="62E6CB42" w:rsidR="0005236E" w:rsidRPr="0005236E" w:rsidRDefault="00723319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Graduation Rate</w:t>
            </w:r>
          </w:p>
        </w:tc>
        <w:tc>
          <w:tcPr>
            <w:tcW w:w="63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AC01D5E" w14:textId="4E15E5BC" w:rsidR="0005236E" w:rsidRPr="0005236E" w:rsidRDefault="00A57DFD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We used the standard IPEDS method for calculation with the 201</w:t>
            </w:r>
            <w:r w:rsidR="00F34E31">
              <w:t>7</w:t>
            </w:r>
            <w:r>
              <w:t xml:space="preserve"> Fall Cohort. These percentages include students who declared and changed to another business major during or after their Freshman year.</w:t>
            </w:r>
            <w:r w:rsidR="00BF3F43">
              <w:t xml:space="preserve"> The </w:t>
            </w:r>
            <w:r w:rsidR="00784958">
              <w:t xml:space="preserve">target graduation rate of the </w:t>
            </w:r>
            <w:r w:rsidR="00BF3F43">
              <w:t xml:space="preserve">Business &amp; Entrepreneurship Department </w:t>
            </w:r>
            <w:r w:rsidR="00784958">
              <w:t xml:space="preserve">is in line with the graduation rate target set by the College. </w:t>
            </w:r>
          </w:p>
        </w:tc>
      </w:tr>
      <w:tr w:rsidR="0005236E" w:rsidRPr="0005236E" w14:paraId="251899A6" w14:textId="77777777" w:rsidTr="0000244E">
        <w:trPr>
          <w:jc w:val="center"/>
        </w:trPr>
        <w:tc>
          <w:tcPr>
            <w:tcW w:w="29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5397FB" w14:textId="77777777" w:rsidR="0005236E" w:rsidRPr="0005236E" w:rsidRDefault="0005236E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DFA443D" w14:textId="77777777" w:rsidR="0005236E" w:rsidRPr="0005236E" w:rsidRDefault="0005236E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236E" w:rsidRPr="0005236E" w14:paraId="60D6E3B3" w14:textId="77777777" w:rsidTr="0000244E">
        <w:trPr>
          <w:jc w:val="center"/>
        </w:trPr>
        <w:tc>
          <w:tcPr>
            <w:tcW w:w="29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CB45B4" w14:textId="77777777" w:rsidR="0005236E" w:rsidRPr="0005236E" w:rsidRDefault="0005236E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03DE06A" w14:textId="77777777" w:rsidR="0005236E" w:rsidRPr="0005236E" w:rsidRDefault="0005236E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236E" w:rsidRPr="0005236E" w14:paraId="16AC5F38" w14:textId="77777777" w:rsidTr="0000244E">
        <w:trPr>
          <w:jc w:val="center"/>
        </w:trPr>
        <w:tc>
          <w:tcPr>
            <w:tcW w:w="29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EA35C7" w14:textId="77777777" w:rsidR="0005236E" w:rsidRPr="0005236E" w:rsidRDefault="0005236E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A1DDCCC" w14:textId="77777777" w:rsidR="0005236E" w:rsidRPr="0005236E" w:rsidRDefault="0005236E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EAB19F3" w14:textId="77777777" w:rsidR="0005236E" w:rsidRDefault="0005236E">
      <w:pPr>
        <w:rPr>
          <w:rFonts w:asciiTheme="minorHAnsi" w:hAnsiTheme="minorHAnsi" w:cstheme="minorHAnsi"/>
          <w:sz w:val="24"/>
          <w:szCs w:val="24"/>
        </w:rPr>
      </w:pPr>
    </w:p>
    <w:p w14:paraId="250F3DD8" w14:textId="77777777" w:rsidR="0005236E" w:rsidRDefault="0005236E">
      <w:pPr>
        <w:rPr>
          <w:rFonts w:asciiTheme="minorHAnsi" w:hAnsiTheme="minorHAnsi" w:cstheme="minorHAnsi"/>
          <w:sz w:val="24"/>
          <w:szCs w:val="24"/>
        </w:rPr>
      </w:pPr>
    </w:p>
    <w:sectPr w:rsidR="0005236E" w:rsidSect="0000244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BF508" w14:textId="77777777" w:rsidR="006005C6" w:rsidRDefault="006005C6" w:rsidP="00C45BEF">
      <w:r>
        <w:separator/>
      </w:r>
    </w:p>
  </w:endnote>
  <w:endnote w:type="continuationSeparator" w:id="0">
    <w:p w14:paraId="79A5FA5A" w14:textId="77777777" w:rsidR="006005C6" w:rsidRDefault="006005C6" w:rsidP="00C4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49D20" w14:textId="77777777" w:rsidR="006005C6" w:rsidRDefault="006005C6" w:rsidP="00C45BEF">
      <w:r>
        <w:separator/>
      </w:r>
    </w:p>
  </w:footnote>
  <w:footnote w:type="continuationSeparator" w:id="0">
    <w:p w14:paraId="194C214D" w14:textId="77777777" w:rsidR="006005C6" w:rsidRDefault="006005C6" w:rsidP="00C45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bQ0NzE0NbUwNTOwMDZW0lEKTi0uzszPAykwrAUAUEs78SwAAAA="/>
  </w:docVars>
  <w:rsids>
    <w:rsidRoot w:val="0005236E"/>
    <w:rsid w:val="0000244E"/>
    <w:rsid w:val="0002099D"/>
    <w:rsid w:val="0005236E"/>
    <w:rsid w:val="001F5E15"/>
    <w:rsid w:val="002E5037"/>
    <w:rsid w:val="004C25C5"/>
    <w:rsid w:val="006005C6"/>
    <w:rsid w:val="006059C8"/>
    <w:rsid w:val="006E6E2E"/>
    <w:rsid w:val="00723319"/>
    <w:rsid w:val="00784958"/>
    <w:rsid w:val="007E206A"/>
    <w:rsid w:val="00824FE8"/>
    <w:rsid w:val="009104CB"/>
    <w:rsid w:val="00941920"/>
    <w:rsid w:val="00953766"/>
    <w:rsid w:val="0098148C"/>
    <w:rsid w:val="00A57DFD"/>
    <w:rsid w:val="00A877AE"/>
    <w:rsid w:val="00B01FF7"/>
    <w:rsid w:val="00BF3F43"/>
    <w:rsid w:val="00C45BEF"/>
    <w:rsid w:val="00C90D98"/>
    <w:rsid w:val="00CA7DAC"/>
    <w:rsid w:val="00D06CEE"/>
    <w:rsid w:val="00DE72F2"/>
    <w:rsid w:val="00E8614B"/>
    <w:rsid w:val="00F34E31"/>
    <w:rsid w:val="00F8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98541"/>
  <w15:chartTrackingRefBased/>
  <w15:docId w15:val="{C454B711-B186-494F-A9B5-04D7E0E5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36E"/>
    <w:pPr>
      <w:spacing w:after="0" w:line="240" w:lineRule="auto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236E"/>
    <w:pPr>
      <w:keepNext/>
      <w:jc w:val="center"/>
      <w:outlineLvl w:val="4"/>
    </w:pPr>
    <w:rPr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05236E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5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BEF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45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BEF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2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D4927DEE67B41A8D82EE06509E49B" ma:contentTypeVersion="17" ma:contentTypeDescription="Create a new document." ma:contentTypeScope="" ma:versionID="b9ee4d9e65bdbcdb6d14abd71c2ac0b7">
  <xsd:schema xmlns:xsd="http://www.w3.org/2001/XMLSchema" xmlns:xs="http://www.w3.org/2001/XMLSchema" xmlns:p="http://schemas.microsoft.com/office/2006/metadata/properties" xmlns:ns3="ebc87070-c8a3-4344-aff9-1957dc37f99a" xmlns:ns4="ddac9d5c-bed0-446c-9694-d1235c1adc19" targetNamespace="http://schemas.microsoft.com/office/2006/metadata/properties" ma:root="true" ma:fieldsID="f645373f3dc3e1868826bc7cd55e3cd3" ns3:_="" ns4:_="">
    <xsd:import namespace="ebc87070-c8a3-4344-aff9-1957dc37f99a"/>
    <xsd:import namespace="ddac9d5c-bed0-446c-9694-d1235c1adc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87070-c8a3-4344-aff9-1957dc37f9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c9d5c-bed0-446c-9694-d1235c1adc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dac9d5c-bed0-446c-9694-d1235c1adc1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9C8AE8-A81C-4989-908F-8D072D710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87070-c8a3-4344-aff9-1957dc37f99a"/>
    <ds:schemaRef ds:uri="ddac9d5c-bed0-446c-9694-d1235c1a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FD63C8-E89C-4A9F-9A88-6C079487A8FB}">
  <ds:schemaRefs>
    <ds:schemaRef ds:uri="http://schemas.microsoft.com/office/2006/metadata/properties"/>
    <ds:schemaRef ds:uri="http://schemas.microsoft.com/office/infopath/2007/PartnerControls"/>
    <ds:schemaRef ds:uri="ddac9d5c-bed0-446c-9694-d1235c1adc19"/>
  </ds:schemaRefs>
</ds:datastoreItem>
</file>

<file path=customXml/itemProps3.xml><?xml version="1.0" encoding="utf-8"?>
<ds:datastoreItem xmlns:ds="http://schemas.openxmlformats.org/officeDocument/2006/customXml" ds:itemID="{DE361736-4D2A-4087-8720-4B1B6083B6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Okrepkie</dc:creator>
  <cp:keywords/>
  <dc:description/>
  <cp:lastModifiedBy>Phillips, Robert J</cp:lastModifiedBy>
  <cp:revision>2</cp:revision>
  <cp:lastPrinted>2024-01-17T14:10:00Z</cp:lastPrinted>
  <dcterms:created xsi:type="dcterms:W3CDTF">2024-01-17T15:34:00Z</dcterms:created>
  <dcterms:modified xsi:type="dcterms:W3CDTF">2024-01-17T15:34:00Z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0x0101001D0D4927DEE67B41A8D82EE06509E49B</vt:lpwstr>
  </property>
</Properties>
</file>