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tbl>
      <w:tblPr>
        <w:tblStyle w:val="TableNormal"/>
        <w:tblW w:w="0" w:type="auto"/>
        <w:tblLayout w:type="fixed"/>
        <w:tblLook w:val="06A0" w:firstRow="1" w:lastRow="0" w:firstColumn="1" w:lastColumn="0" w:noHBand="1" w:noVBand="1"/>
      </w:tblPr>
      <w:tblGrid>
        <w:gridCol w:w="4680"/>
        <w:gridCol w:w="4680"/>
      </w:tblGrid>
      <w:tr w:rsidR="22C03B56" w:rsidTr="22C03B56" w14:paraId="7F76A43B">
        <w:trPr>
          <w:trHeight w:val="300"/>
        </w:trPr>
        <w:tc>
          <w:tcPr>
            <w:tcW w:w="4680" w:type="dxa"/>
            <w:tcBorders>
              <w:right w:val="single" w:color="000000" w:themeColor="text1" w:sz="4"/>
            </w:tcBorders>
            <w:tcMar>
              <w:left w:w="108" w:type="dxa"/>
              <w:right w:w="108" w:type="dxa"/>
            </w:tcMar>
            <w:vAlign w:val="top"/>
          </w:tcPr>
          <w:p w:rsidR="22C03B56" w:rsidP="22C03B56" w:rsidRDefault="22C03B56" w14:paraId="7E9BD150" w14:textId="7B414FF7">
            <w:pPr>
              <w:spacing w:before="0" w:beforeAutospacing="off" w:after="0" w:afterAutospacing="off"/>
              <w:jc w:val="center"/>
            </w:pPr>
            <w:r w:rsidR="22C03B56">
              <w:drawing>
                <wp:inline wp14:editId="77248DBD" wp14:anchorId="773832C1">
                  <wp:extent cx="3343275" cy="733425"/>
                  <wp:effectExtent l="0" t="0" r="0" b="0"/>
                  <wp:docPr id="1327402830" name="" descr="Macintosh HD:Users:jennifertesar:Desktop:Screen Shot 2016-06-09 at 11.19.20 AM.png" title=""/>
                  <wp:cNvGraphicFramePr>
                    <a:graphicFrameLocks noChangeAspect="1"/>
                  </wp:cNvGraphicFramePr>
                  <a:graphic>
                    <a:graphicData uri="http://schemas.openxmlformats.org/drawingml/2006/picture">
                      <pic:pic>
                        <pic:nvPicPr>
                          <pic:cNvPr id="0" name=""/>
                          <pic:cNvPicPr/>
                        </pic:nvPicPr>
                        <pic:blipFill>
                          <a:blip r:embed="R37ca175d28ae44b5">
                            <a:extLst>
                              <a:ext xmlns:a="http://schemas.openxmlformats.org/drawingml/2006/main" uri="{28A0092B-C50C-407E-A947-70E740481C1C}">
                                <a14:useLocalDpi val="0"/>
                              </a:ext>
                            </a:extLst>
                          </a:blip>
                          <a:stretch>
                            <a:fillRect/>
                          </a:stretch>
                        </pic:blipFill>
                        <pic:spPr>
                          <a:xfrm>
                            <a:off x="0" y="0"/>
                            <a:ext cx="3343275" cy="733425"/>
                          </a:xfrm>
                          <a:prstGeom prst="rect">
                            <a:avLst/>
                          </a:prstGeom>
                        </pic:spPr>
                      </pic:pic>
                    </a:graphicData>
                  </a:graphic>
                </wp:inline>
              </w:drawing>
            </w:r>
          </w:p>
        </w:tc>
        <w:tc>
          <w:tcPr>
            <w:tcW w:w="4680" w:type="dxa"/>
            <w:tcBorders>
              <w:left w:val="single" w:color="000000" w:themeColor="text1" w:sz="4"/>
            </w:tcBorders>
            <w:tcMar>
              <w:left w:w="108" w:type="dxa"/>
              <w:right w:w="108" w:type="dxa"/>
            </w:tcMar>
            <w:vAlign w:val="top"/>
          </w:tcPr>
          <w:p w:rsidR="22C03B56" w:rsidP="22C03B56" w:rsidRDefault="22C03B56" w14:paraId="42CBAE9D" w14:textId="1A4E9340">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36"/>
                <w:szCs w:val="36"/>
                <w:u w:val="none"/>
              </w:rPr>
              <w:t>Teacher Education</w:t>
            </w:r>
          </w:p>
          <w:p w:rsidR="22C03B56" w:rsidP="22C03B56" w:rsidRDefault="22C03B56" w14:paraId="43374C23" w14:textId="1957177B">
            <w:pPr>
              <w:spacing w:before="0" w:beforeAutospacing="off" w:after="0" w:afterAutospacing="off"/>
            </w:pPr>
          </w:p>
        </w:tc>
      </w:tr>
    </w:tbl>
    <w:p xmlns:wp14="http://schemas.microsoft.com/office/word/2010/wordml" w:rsidP="22C03B56" wp14:paraId="742A1503" wp14:textId="142B197B">
      <w:pPr>
        <w:pStyle w:val="Normal"/>
        <w:jc w:val="center"/>
        <w:rPr>
          <w:rFonts w:ascii="Times New Roman" w:hAnsi="Times New Roman" w:eastAsia="Times New Roman" w:cs="Times New Roman"/>
          <w:sz w:val="24"/>
          <w:szCs w:val="24"/>
        </w:rPr>
      </w:pPr>
    </w:p>
    <w:p xmlns:wp14="http://schemas.microsoft.com/office/word/2010/wordml" w:rsidP="22C03B56" wp14:paraId="2C078E63" wp14:textId="712A9962">
      <w:pPr>
        <w:pStyle w:val="Normal"/>
        <w:jc w:val="center"/>
        <w:rPr>
          <w:rFonts w:ascii="Times New Roman" w:hAnsi="Times New Roman" w:eastAsia="Times New Roman" w:cs="Times New Roman"/>
          <w:sz w:val="24"/>
          <w:szCs w:val="24"/>
        </w:rPr>
      </w:pPr>
      <w:r w:rsidRPr="22C03B56" w:rsidR="4444D34D">
        <w:rPr>
          <w:rFonts w:ascii="Times New Roman" w:hAnsi="Times New Roman" w:eastAsia="Times New Roman" w:cs="Times New Roman"/>
          <w:sz w:val="24"/>
          <w:szCs w:val="24"/>
        </w:rPr>
        <w:t xml:space="preserve">CAEP Annual Reporting Measures </w:t>
      </w:r>
      <w:r w:rsidRPr="22C03B56" w:rsidR="1ACDAB8A">
        <w:rPr>
          <w:rFonts w:ascii="Times New Roman" w:hAnsi="Times New Roman" w:eastAsia="Times New Roman" w:cs="Times New Roman"/>
          <w:sz w:val="24"/>
          <w:szCs w:val="24"/>
        </w:rPr>
        <w:t>2023</w:t>
      </w:r>
    </w:p>
    <w:p w:rsidR="1ACDAB8A" w:rsidP="22C03B56" w:rsidRDefault="1ACDAB8A" w14:paraId="109E0FE4" w14:textId="53D687E8">
      <w:pPr>
        <w:pStyle w:val="Normal"/>
        <w:jc w:val="center"/>
        <w:rPr>
          <w:rFonts w:ascii="Times New Roman" w:hAnsi="Times New Roman" w:eastAsia="Times New Roman" w:cs="Times New Roman"/>
          <w:sz w:val="24"/>
          <w:szCs w:val="24"/>
        </w:rPr>
      </w:pPr>
      <w:r w:rsidRPr="22C03B56" w:rsidR="1ACDAB8A">
        <w:rPr>
          <w:rFonts w:ascii="Times New Roman" w:hAnsi="Times New Roman" w:eastAsia="Times New Roman" w:cs="Times New Roman"/>
          <w:sz w:val="24"/>
          <w:szCs w:val="24"/>
        </w:rPr>
        <w:t>(2021-2022 Academic Year)</w:t>
      </w:r>
    </w:p>
    <w:p w:rsidR="22C03B56" w:rsidP="22C03B56" w:rsidRDefault="22C03B56" w14:paraId="15433FAA" w14:textId="520E2D45">
      <w:pPr>
        <w:pStyle w:val="Normal"/>
        <w:jc w:val="center"/>
        <w:rPr>
          <w:rFonts w:ascii="Times New Roman" w:hAnsi="Times New Roman" w:eastAsia="Times New Roman" w:cs="Times New Roman"/>
          <w:sz w:val="24"/>
          <w:szCs w:val="24"/>
        </w:rPr>
      </w:pPr>
    </w:p>
    <w:p w:rsidR="4444D34D" w:rsidP="22C03B56" w:rsidRDefault="4444D34D" w14:paraId="3934F4F0" w14:textId="285D01DB">
      <w:pPr>
        <w:pStyle w:val="Normal"/>
        <w:jc w:val="left"/>
        <w:rPr>
          <w:rFonts w:ascii="Times New Roman" w:hAnsi="Times New Roman" w:eastAsia="Times New Roman" w:cs="Times New Roman"/>
          <w:sz w:val="24"/>
          <w:szCs w:val="24"/>
        </w:rPr>
      </w:pPr>
      <w:r w:rsidRPr="22C03B56" w:rsidR="4444D34D">
        <w:rPr>
          <w:rFonts w:ascii="Times New Roman" w:hAnsi="Times New Roman" w:eastAsia="Times New Roman" w:cs="Times New Roman"/>
          <w:b w:val="1"/>
          <w:bCs w:val="1"/>
          <w:sz w:val="24"/>
          <w:szCs w:val="24"/>
        </w:rPr>
        <w:t xml:space="preserve">Measure 1: </w:t>
      </w:r>
      <w:r w:rsidRPr="22C03B56" w:rsidR="45C3454A">
        <w:rPr>
          <w:rFonts w:ascii="Times New Roman" w:hAnsi="Times New Roman" w:eastAsia="Times New Roman" w:cs="Times New Roman"/>
          <w:b w:val="1"/>
          <w:bCs w:val="1"/>
          <w:sz w:val="24"/>
          <w:szCs w:val="24"/>
        </w:rPr>
        <w:t xml:space="preserve">Completer Effectiveness </w:t>
      </w:r>
    </w:p>
    <w:p w:rsidR="54148D10" w:rsidP="22C03B56" w:rsidRDefault="54148D10" w14:paraId="0E5785D3" w14:textId="41A8EA3B">
      <w:pPr>
        <w:pStyle w:val="Normal"/>
        <w:jc w:val="left"/>
        <w:rPr>
          <w:rFonts w:ascii="Times New Roman" w:hAnsi="Times New Roman" w:eastAsia="Times New Roman" w:cs="Times New Roman"/>
          <w:sz w:val="24"/>
          <w:szCs w:val="24"/>
        </w:rPr>
      </w:pPr>
      <w:r w:rsidRPr="22C03B56" w:rsidR="54148D10">
        <w:rPr>
          <w:rFonts w:ascii="Times New Roman" w:hAnsi="Times New Roman" w:eastAsia="Times New Roman" w:cs="Times New Roman"/>
          <w:sz w:val="24"/>
          <w:szCs w:val="24"/>
        </w:rPr>
        <w:t>D&amp;E Completers are (a) effectively able to contribute to P-12 student-learning growth, and (b) apply P-12 classrooms the professional knowledge, skills, and dispos</w:t>
      </w:r>
      <w:r w:rsidRPr="22C03B56" w:rsidR="515E5773">
        <w:rPr>
          <w:rFonts w:ascii="Times New Roman" w:hAnsi="Times New Roman" w:eastAsia="Times New Roman" w:cs="Times New Roman"/>
          <w:sz w:val="24"/>
          <w:szCs w:val="24"/>
        </w:rPr>
        <w:t xml:space="preserve">itions that the preparation experiences were designed to achieve. </w:t>
      </w:r>
    </w:p>
    <w:p w:rsidR="54148D10" w:rsidP="22C03B56" w:rsidRDefault="54148D10" w14:paraId="2A9B14D6" w14:textId="7E62F17A">
      <w:pPr>
        <w:pStyle w:val="Normal"/>
        <w:jc w:val="left"/>
        <w:rPr>
          <w:rFonts w:ascii="Times New Roman" w:hAnsi="Times New Roman" w:eastAsia="Times New Roman" w:cs="Times New Roman"/>
          <w:sz w:val="24"/>
          <w:szCs w:val="24"/>
        </w:rPr>
      </w:pPr>
      <w:r w:rsidRPr="22C03B56" w:rsidR="54148D10">
        <w:rPr>
          <w:rFonts w:ascii="Times New Roman" w:hAnsi="Times New Roman" w:eastAsia="Times New Roman" w:cs="Times New Roman"/>
          <w:sz w:val="24"/>
          <w:szCs w:val="24"/>
        </w:rPr>
        <w:t xml:space="preserve">Data for this measure is currently under development and not yet available due to staffing changes and related issues. </w:t>
      </w:r>
      <w:r w:rsidRPr="22C03B56" w:rsidR="099CA641">
        <w:rPr>
          <w:rFonts w:ascii="Times New Roman" w:hAnsi="Times New Roman" w:eastAsia="Times New Roman" w:cs="Times New Roman"/>
          <w:sz w:val="24"/>
          <w:szCs w:val="24"/>
        </w:rPr>
        <w:t xml:space="preserve">The EPP will conduct a case study in which completers from 2021-2022 will be asked to self-report measures related to student growth and professional evaluations. It is anticipated that </w:t>
      </w:r>
      <w:r w:rsidRPr="22C03B56" w:rsidR="17A17CE5">
        <w:rPr>
          <w:rFonts w:ascii="Times New Roman" w:hAnsi="Times New Roman" w:eastAsia="Times New Roman" w:cs="Times New Roman"/>
          <w:sz w:val="24"/>
          <w:szCs w:val="24"/>
        </w:rPr>
        <w:t>the data</w:t>
      </w:r>
      <w:r w:rsidRPr="22C03B56" w:rsidR="099CA641">
        <w:rPr>
          <w:rFonts w:ascii="Times New Roman" w:hAnsi="Times New Roman" w:eastAsia="Times New Roman" w:cs="Times New Roman"/>
          <w:sz w:val="24"/>
          <w:szCs w:val="24"/>
        </w:rPr>
        <w:t xml:space="preserve"> will be made</w:t>
      </w:r>
      <w:r w:rsidRPr="22C03B56" w:rsidR="03BA41FF">
        <w:rPr>
          <w:rFonts w:ascii="Times New Roman" w:hAnsi="Times New Roman" w:eastAsia="Times New Roman" w:cs="Times New Roman"/>
          <w:sz w:val="24"/>
          <w:szCs w:val="24"/>
        </w:rPr>
        <w:t xml:space="preserve"> public by August 2024. </w:t>
      </w:r>
    </w:p>
    <w:p w:rsidR="22C03B56" w:rsidP="22C03B56" w:rsidRDefault="22C03B56" w14:paraId="5CFFED00" w14:textId="67941621">
      <w:pPr>
        <w:pStyle w:val="Normal"/>
        <w:jc w:val="left"/>
        <w:rPr>
          <w:rFonts w:ascii="Times New Roman" w:hAnsi="Times New Roman" w:eastAsia="Times New Roman" w:cs="Times New Roman"/>
          <w:sz w:val="24"/>
          <w:szCs w:val="24"/>
        </w:rPr>
      </w:pPr>
    </w:p>
    <w:p w:rsidR="03BA41FF" w:rsidP="22C03B56" w:rsidRDefault="03BA41FF" w14:paraId="1B04BB03" w14:textId="10F59C0A">
      <w:pPr>
        <w:pStyle w:val="Normal"/>
        <w:jc w:val="left"/>
        <w:rPr>
          <w:rFonts w:ascii="Times New Roman" w:hAnsi="Times New Roman" w:eastAsia="Times New Roman" w:cs="Times New Roman"/>
          <w:b w:val="1"/>
          <w:bCs w:val="1"/>
          <w:sz w:val="24"/>
          <w:szCs w:val="24"/>
        </w:rPr>
      </w:pPr>
      <w:r w:rsidRPr="22C03B56" w:rsidR="03BA41FF">
        <w:rPr>
          <w:rFonts w:ascii="Times New Roman" w:hAnsi="Times New Roman" w:eastAsia="Times New Roman" w:cs="Times New Roman"/>
          <w:b w:val="1"/>
          <w:bCs w:val="1"/>
          <w:sz w:val="24"/>
          <w:szCs w:val="24"/>
        </w:rPr>
        <w:t>Measure</w:t>
      </w:r>
      <w:r w:rsidRPr="22C03B56" w:rsidR="03BA41FF">
        <w:rPr>
          <w:rFonts w:ascii="Times New Roman" w:hAnsi="Times New Roman" w:eastAsia="Times New Roman" w:cs="Times New Roman"/>
          <w:b w:val="1"/>
          <w:bCs w:val="1"/>
          <w:sz w:val="24"/>
          <w:szCs w:val="24"/>
        </w:rPr>
        <w:t xml:space="preserve"> 2: Employer Satisfaction </w:t>
      </w:r>
    </w:p>
    <w:p w:rsidR="76F3EF7D" w:rsidP="22C03B56" w:rsidRDefault="76F3EF7D" w14:paraId="111BE019" w14:textId="177903E3">
      <w:pPr>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2C03B56" w:rsidR="76F3EF7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Data from this measure is currently unavailable due to the reliance on voluntary participation in the survey.</w:t>
      </w:r>
      <w:r w:rsidRPr="22C03B56" w:rsidR="76F3EF7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 responses were able to be collected in relatio</w:t>
      </w:r>
      <w:r w:rsidRPr="22C03B56" w:rsidR="1467152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n to completers from the 2021-2022 academic year. </w:t>
      </w:r>
    </w:p>
    <w:p w:rsidR="22C03B56" w:rsidP="22C03B56" w:rsidRDefault="22C03B56" w14:paraId="55747F7A" w14:textId="66B1D23C">
      <w:pPr>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52A5A5F" w:rsidP="22C03B56" w:rsidRDefault="252A5A5F" w14:paraId="380E683F" w14:textId="22B33E3E">
      <w:pPr>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2C03B56" w:rsidR="252A5A5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Traditionally the EPP uses the Supervisors Satisfaction Survey from the North </w:t>
      </w:r>
      <w:r w:rsidRPr="22C03B56" w:rsidR="58F6417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Dakota</w:t>
      </w:r>
      <w:r w:rsidRPr="22C03B56" w:rsidR="252A5A5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State University a</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long with the Exit Survey and the Transition to Teaching</w:t>
      </w:r>
      <w:r w:rsidRPr="22C03B56" w:rsidR="0254C91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NExT</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supports accreditation and program approval at both the state and national level through their alignment with both </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InTASC</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CAEP accreditation standards. The items in the surveys are aligned with the </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InTASC</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standards, and therefore, support the state program approval and CAEP standard 1.1. In particular, the Supervisor Survey results </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provide</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strong evidence</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 CAEP standard 4.3. The </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NExT</w:t>
      </w:r>
      <w:r w:rsidRPr="22C03B56"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surveys meet validity and reliability standards.  </w:t>
      </w:r>
    </w:p>
    <w:p w:rsidR="22C03B56" w:rsidP="22C03B56" w:rsidRDefault="22C03B56" w14:paraId="2EB4C65C" w14:textId="62282BAA">
      <w:pPr>
        <w:jc w:val="left"/>
      </w:pPr>
    </w:p>
    <w:p w:rsidR="1D83E127" w:rsidP="1A4A5E4B" w:rsidRDefault="1D83E127" w14:paraId="25C42BCA" w14:textId="4F64CC0D">
      <w:pPr>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Employers were asked to complete the survey</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regardin</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D&amp;E graduate completing his/her first year of teaching. The completion of the survey was voluntary. The indicators were taken from the</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NEx</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w:t>
      </w:r>
      <w:r w:rsidRPr="1A4A5E4B" w:rsidR="1D83E1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North Dakota University Survey. </w:t>
      </w:r>
    </w:p>
    <w:p w:rsidR="1A4A5E4B" w:rsidP="1A4A5E4B" w:rsidRDefault="1A4A5E4B" w14:paraId="249A1782" w14:textId="40E3EE1D">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1FCBBE37" w:rsidP="1A4A5E4B" w:rsidRDefault="1FCBBE37" w14:paraId="4A31B2EB" w14:textId="4BA0E6EC">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1A4A5E4B" w:rsidR="1FCBBE3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EPP intends to continue to use this survey for data collection for the 2022-2023 academic year. </w:t>
      </w:r>
    </w:p>
    <w:p w:rsidR="22C03B56" w:rsidP="22C03B56" w:rsidRDefault="22C03B56" w14:paraId="5EFE6DCA" w14:textId="50EC9019">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2C03B56" w:rsidP="1A4A5E4B" w:rsidRDefault="22C03B56" w14:paraId="12B79BA4" w14:textId="0CF72A63">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22C03B56" w:rsidP="22C03B56" w:rsidRDefault="22C03B56" w14:paraId="295C9F1A" w14:textId="7DAD941C">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213441EE" w:rsidP="22C03B56" w:rsidRDefault="213441EE" w14:paraId="737039C6" w14:textId="6B96934B">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22C03B56" w:rsidR="213441EE">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Measure 3: Candidate Competency at Program Completion </w:t>
      </w:r>
    </w:p>
    <w:p w:rsidR="22C03B56" w:rsidP="22C03B56" w:rsidRDefault="22C03B56" w14:paraId="0EA617DB" w14:textId="6DE1A5E8">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7730E9A3" w:rsidP="22C03B56" w:rsidRDefault="7730E9A3" w14:paraId="6AA04082" w14:textId="3988E513">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2C03B56" w:rsidR="7730E9A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EPP uses the PPAT and CPAST to measure candidate competency at program completion. Results from each assessment are analyzed and compared to find </w:t>
      </w:r>
      <w:r w:rsidRPr="22C03B56" w:rsidR="7730E9A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common areas</w:t>
      </w:r>
      <w:r w:rsidRPr="22C03B56" w:rsidR="7730E9A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strengths and weaknesses. </w:t>
      </w:r>
    </w:p>
    <w:p w:rsidR="22C03B56" w:rsidP="22C03B56" w:rsidRDefault="22C03B56" w14:paraId="3D5EB84B" w14:textId="7EAC133B">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0F4F5AD9" w:rsidP="22C03B56" w:rsidRDefault="0F4F5AD9" w14:paraId="43110A7A" w14:textId="3720501E">
      <w:pPr>
        <w:spacing w:before="0" w:beforeAutospacing="off" w:after="0" w:afterAutospacing="off"/>
        <w:jc w:val="left"/>
      </w:pPr>
      <w:r w:rsidRPr="22C03B56" w:rsidR="0F4F5AD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PPAT</w:t>
      </w:r>
    </w:p>
    <w:p w:rsidR="0F4F5AD9" w:rsidP="22C03B56" w:rsidRDefault="0F4F5AD9" w14:paraId="32ED7DFD" w14:textId="1086375C">
      <w:pPr>
        <w:spacing w:before="0" w:beforeAutospacing="off" w:after="0" w:afterAutospacing="off"/>
        <w:jc w:val="left"/>
      </w:pPr>
      <w:r w:rsidRPr="22C03B56" w:rsidR="0F4F5AD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As indicated in the West Virginia Board of Education (WVBE) Policy 5100, candidates completing a WVBE-approved teacher education program for any professional educator license must past a performance assessment. In the fall of 2016, our teacher education program adopted the Praxis Performance Assessment Test (PPAT) a national normed performance assessment instrument that has multiple means of measuring a candidate’s performance and impact. Our candidates have regularly met or exceeded the qualifying score for the PPAT.  </w:t>
      </w:r>
    </w:p>
    <w:p w:rsidR="22C03B56" w:rsidP="22C03B56" w:rsidRDefault="22C03B56" w14:paraId="14747FAE" w14:textId="34B1F761">
      <w:pPr>
        <w:jc w:val="left"/>
      </w:pPr>
    </w:p>
    <w:tbl>
      <w:tblPr>
        <w:tblStyle w:val="TableNormal"/>
        <w:tblW w:w="0" w:type="auto"/>
        <w:tblLayout w:type="fixed"/>
        <w:tblLook w:val="06A0" w:firstRow="1" w:lastRow="0" w:firstColumn="1" w:lastColumn="0" w:noHBand="1" w:noVBand="1"/>
      </w:tblPr>
      <w:tblGrid>
        <w:gridCol w:w="1872"/>
        <w:gridCol w:w="1872"/>
        <w:gridCol w:w="1872"/>
        <w:gridCol w:w="1872"/>
        <w:gridCol w:w="1872"/>
      </w:tblGrid>
      <w:tr w:rsidR="22C03B56" w:rsidTr="22C03B56" w14:paraId="7B3FCB5E">
        <w:trPr>
          <w:trHeight w:val="300"/>
        </w:trPr>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E6E6" w:themeFill="background2"/>
            <w:tcMar>
              <w:left w:w="108" w:type="dxa"/>
              <w:right w:w="108" w:type="dxa"/>
            </w:tcMar>
            <w:vAlign w:val="top"/>
          </w:tcPr>
          <w:p w:rsidR="22C03B56" w:rsidP="22C03B56" w:rsidRDefault="22C03B56" w14:paraId="55FC641A" w14:textId="11BCA04A">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Year</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E6E6" w:themeFill="background2"/>
            <w:tcMar>
              <w:left w:w="108" w:type="dxa"/>
              <w:right w:w="108" w:type="dxa"/>
            </w:tcMar>
            <w:vAlign w:val="top"/>
          </w:tcPr>
          <w:p w:rsidR="22C03B56" w:rsidP="22C03B56" w:rsidRDefault="22C03B56" w14:paraId="1F98FEAB" w14:textId="028284DC">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Number of Completers</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E6E6" w:themeFill="background2"/>
            <w:tcMar>
              <w:left w:w="108" w:type="dxa"/>
              <w:right w:w="108" w:type="dxa"/>
            </w:tcMar>
            <w:vAlign w:val="top"/>
          </w:tcPr>
          <w:p w:rsidR="22C03B56" w:rsidP="22C03B56" w:rsidRDefault="22C03B56" w14:paraId="61F9AB4C" w14:textId="1826B7F3">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PPAT Pass Rate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E6E6" w:themeFill="background2"/>
            <w:tcMar>
              <w:left w:w="108" w:type="dxa"/>
              <w:right w:w="108" w:type="dxa"/>
            </w:tcMar>
            <w:vAlign w:val="top"/>
          </w:tcPr>
          <w:p w:rsidR="22C03B56" w:rsidP="22C03B56" w:rsidRDefault="22C03B56" w14:paraId="40EDF13C" w14:textId="1695C7F9">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Passing Score</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E6E6" w:themeFill="background2"/>
            <w:tcMar>
              <w:left w:w="108" w:type="dxa"/>
              <w:right w:w="108" w:type="dxa"/>
            </w:tcMar>
            <w:vAlign w:val="top"/>
          </w:tcPr>
          <w:p w:rsidR="22C03B56" w:rsidP="22C03B56" w:rsidRDefault="22C03B56" w14:paraId="44B9FFF9" w14:textId="33D1E410">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Average Score</w:t>
            </w:r>
          </w:p>
        </w:tc>
      </w:tr>
      <w:tr w:rsidR="22C03B56" w:rsidTr="22C03B56" w14:paraId="6C0A239C">
        <w:trPr>
          <w:trHeight w:val="300"/>
        </w:trPr>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vAlign w:val="top"/>
          </w:tcPr>
          <w:p w:rsidR="6258D2CB" w:rsidP="22C03B56" w:rsidRDefault="6258D2CB" w14:paraId="2E6D992E" w14:textId="588B29D2">
            <w:pPr>
              <w:pStyle w:val="Normal"/>
              <w:jc w:val="left"/>
              <w:rPr>
                <w:rFonts w:ascii="Times New Roman" w:hAnsi="Times New Roman" w:eastAsia="Times New Roman" w:cs="Times New Roman"/>
                <w:b w:val="1"/>
                <w:bCs w:val="1"/>
                <w:i w:val="0"/>
                <w:iCs w:val="0"/>
                <w:strike w:val="0"/>
                <w:dstrike w:val="0"/>
                <w:color w:val="000000" w:themeColor="text1" w:themeTint="FF" w:themeShade="FF"/>
                <w:sz w:val="24"/>
                <w:szCs w:val="24"/>
                <w:u w:val="none"/>
              </w:rPr>
            </w:pPr>
            <w:r w:rsidRPr="22C03B56" w:rsidR="6258D2CB">
              <w:rPr>
                <w:rFonts w:ascii="Times New Roman" w:hAnsi="Times New Roman" w:eastAsia="Times New Roman" w:cs="Times New Roman"/>
                <w:b w:val="0"/>
                <w:bCs w:val="0"/>
                <w:i w:val="0"/>
                <w:iCs w:val="0"/>
                <w:strike w:val="0"/>
                <w:dstrike w:val="0"/>
                <w:color w:val="000000" w:themeColor="text1" w:themeTint="FF" w:themeShade="FF"/>
                <w:sz w:val="19"/>
                <w:szCs w:val="19"/>
                <w:u w:val="none"/>
              </w:rPr>
              <w:t>2021-2022</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vAlign w:val="top"/>
          </w:tcPr>
          <w:p w:rsidR="4904166B" w:rsidP="22C03B56" w:rsidRDefault="4904166B" w14:paraId="33EABDE2" w14:textId="5D4EE469">
            <w:pPr>
              <w:pStyle w:val="Normal"/>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C03B56" w:rsidR="4904166B">
              <w:rPr>
                <w:rFonts w:ascii="Times New Roman" w:hAnsi="Times New Roman" w:eastAsia="Times New Roman" w:cs="Times New Roman"/>
                <w:b w:val="0"/>
                <w:bCs w:val="0"/>
                <w:i w:val="0"/>
                <w:iCs w:val="0"/>
                <w:strike w:val="0"/>
                <w:dstrike w:val="0"/>
                <w:color w:val="000000" w:themeColor="text1" w:themeTint="FF" w:themeShade="FF"/>
                <w:sz w:val="20"/>
                <w:szCs w:val="20"/>
                <w:u w:val="none"/>
              </w:rPr>
              <w:t>10</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vAlign w:val="top"/>
          </w:tcPr>
          <w:p w:rsidR="6258D2CB" w:rsidP="22C03B56" w:rsidRDefault="6258D2CB" w14:paraId="53799DFC" w14:textId="057B6627">
            <w:pPr>
              <w:pStyle w:val="Normal"/>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C03B56" w:rsidR="6258D2CB">
              <w:rPr>
                <w:rFonts w:ascii="Times New Roman" w:hAnsi="Times New Roman" w:eastAsia="Times New Roman" w:cs="Times New Roman"/>
                <w:b w:val="0"/>
                <w:bCs w:val="0"/>
                <w:i w:val="0"/>
                <w:iCs w:val="0"/>
                <w:strike w:val="0"/>
                <w:dstrike w:val="0"/>
                <w:color w:val="000000" w:themeColor="text1" w:themeTint="FF" w:themeShade="FF"/>
                <w:sz w:val="20"/>
                <w:szCs w:val="20"/>
                <w:u w:val="none"/>
              </w:rPr>
              <w:t>100%</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vAlign w:val="top"/>
          </w:tcPr>
          <w:p w:rsidR="6258D2CB" w:rsidP="22C03B56" w:rsidRDefault="6258D2CB" w14:paraId="070D4489" w14:textId="66818F5F">
            <w:pPr>
              <w:pStyle w:val="Normal"/>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C03B56" w:rsidR="6258D2CB">
              <w:rPr>
                <w:rFonts w:ascii="Times New Roman" w:hAnsi="Times New Roman" w:eastAsia="Times New Roman" w:cs="Times New Roman"/>
                <w:b w:val="0"/>
                <w:bCs w:val="0"/>
                <w:i w:val="0"/>
                <w:iCs w:val="0"/>
                <w:strike w:val="0"/>
                <w:dstrike w:val="0"/>
                <w:color w:val="000000" w:themeColor="text1" w:themeTint="FF" w:themeShade="FF"/>
                <w:sz w:val="20"/>
                <w:szCs w:val="20"/>
                <w:u w:val="none"/>
              </w:rPr>
              <w:t>40</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vAlign w:val="top"/>
          </w:tcPr>
          <w:p w:rsidR="4B3B957C" w:rsidP="22C03B56" w:rsidRDefault="4B3B957C" w14:paraId="4C66F7E4" w14:textId="7B6AFAAE">
            <w:pPr>
              <w:pStyle w:val="Normal"/>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C03B56" w:rsidR="4B3B957C">
              <w:rPr>
                <w:rFonts w:ascii="Times New Roman" w:hAnsi="Times New Roman" w:eastAsia="Times New Roman" w:cs="Times New Roman"/>
                <w:b w:val="0"/>
                <w:bCs w:val="0"/>
                <w:i w:val="0"/>
                <w:iCs w:val="0"/>
                <w:strike w:val="0"/>
                <w:dstrike w:val="0"/>
                <w:color w:val="000000" w:themeColor="text1" w:themeTint="FF" w:themeShade="FF"/>
                <w:sz w:val="20"/>
                <w:szCs w:val="20"/>
                <w:u w:val="none"/>
              </w:rPr>
              <w:t>44.2</w:t>
            </w:r>
          </w:p>
        </w:tc>
      </w:tr>
      <w:tr w:rsidR="22C03B56" w:rsidTr="22C03B56" w14:paraId="45CB16D1">
        <w:trPr>
          <w:trHeight w:val="300"/>
        </w:trPr>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0777F353" w14:textId="73602CA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2020-2021</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056537E4" w14:textId="7E0C2C9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5</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016700ED" w14:textId="0AE3C38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100%</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343B7B9F" w14:textId="038D03AC">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40</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7DE90C13" w14:textId="108AA4B8">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45.4</w:t>
            </w:r>
          </w:p>
        </w:tc>
      </w:tr>
      <w:tr w:rsidR="22C03B56" w:rsidTr="22C03B56" w14:paraId="545A20D5">
        <w:trPr>
          <w:trHeight w:val="300"/>
        </w:trPr>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40748A8A" w14:textId="1DF8722B">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2019-2020</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30633FDB" w14:textId="3481B78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8</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14A5336E" w14:textId="3791BC6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100%</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3AB4D8FB" w14:textId="279EED01">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38</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38A929A3" w14:textId="1603BBD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45</w:t>
            </w:r>
          </w:p>
        </w:tc>
      </w:tr>
      <w:tr w:rsidR="22C03B56" w:rsidTr="22C03B56" w14:paraId="41CFB7A1">
        <w:trPr>
          <w:trHeight w:val="300"/>
        </w:trPr>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0228B97C" w14:textId="1B2F6A2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2019-2018</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108B0D03" w14:textId="4F73198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9</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6192F27B" w14:textId="6540B079">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100%</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20B0A5AD" w14:textId="1F8C9DB7">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36</w:t>
            </w:r>
          </w:p>
        </w:tc>
        <w:tc>
          <w:tcPr>
            <w:tcW w:w="1872"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0893CB32" w14:textId="24EF61E4">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42</w:t>
            </w:r>
          </w:p>
        </w:tc>
      </w:tr>
    </w:tbl>
    <w:p w:rsidR="22C03B56" w:rsidP="22C03B56" w:rsidRDefault="22C03B56" w14:paraId="1FF28CC9" w14:textId="180D64C9">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27644E61" w:rsidP="22C03B56" w:rsidRDefault="27644E61" w14:paraId="1C020C19" w14:textId="0718EF93">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22C03B56" w:rsidR="27644E61">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CPAST</w:t>
      </w:r>
    </w:p>
    <w:p w:rsidR="22C03B56" w:rsidP="22C03B56" w:rsidRDefault="22C03B56" w14:paraId="3772F418" w14:textId="0A9A68A9">
      <w:pPr>
        <w:pStyle w:val="Normal"/>
        <w:spacing w:before="0" w:beforeAutospacing="off" w:after="0" w:afterAutospacing="off"/>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27644E61" w:rsidP="22C03B56" w:rsidRDefault="27644E61" w14:paraId="25E7D2EA" w14:textId="23527BE5">
      <w:pPr>
        <w:pStyle w:val="Normal"/>
        <w:spacing w:before="0" w:beforeAutospacing="off" w:after="0" w:afterAutospacing="off"/>
        <w:jc w:val="left"/>
      </w:pPr>
      <w:r w:rsidRPr="22C03B56" w:rsidR="27644E6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Data was collected by cooperating teachers, teacher candidates, and college supervisors using the Valid and Reliable Instruments for Educator Preparation Programs (VARI-EPP) Candidate Preserve Assessment of Student Teaching (CPAST). This provides triangulation between the observations of the cooperating teacher and the college supervisor with a self-assessment from the student-teacher. CPAST is a formative and summative assessment during the student teaching practicum.</w:t>
      </w:r>
    </w:p>
    <w:p w:rsidR="22C03B56" w:rsidP="22C03B56" w:rsidRDefault="22C03B56" w14:paraId="18BB355F" w14:textId="10A91CD1">
      <w:pPr>
        <w:pStyle w:val="Normal"/>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7644E61" w:rsidP="22C03B56" w:rsidRDefault="27644E61" w14:paraId="2D19F1A3" w14:textId="3D95B8F9">
      <w:pPr>
        <w:pStyle w:val="Normal"/>
        <w:jc w:val="left"/>
      </w:pPr>
      <w:r w:rsidRPr="22C03B56" w:rsidR="27644E6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Candidates were rated by their cooperating teacher, college supervisor, and by self-evaluation. The CPAST Form is intended to accurately reflect the student teacher’s performance at the middle and end of the student teaching experience and </w:t>
      </w:r>
      <w:r w:rsidRPr="22C03B56" w:rsidR="27644E6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provide</w:t>
      </w:r>
      <w:r w:rsidRPr="22C03B56" w:rsidR="27644E6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formative feedback to the student-teacher.</w:t>
      </w:r>
    </w:p>
    <w:p w:rsidR="49E1587B" w:rsidP="22C03B56" w:rsidRDefault="49E1587B" w14:paraId="283490EA" w14:textId="4A4EFD6E">
      <w:pPr>
        <w:spacing w:before="0" w:beforeAutospacing="off" w:after="0" w:afterAutospacing="off"/>
        <w:jc w:val="left"/>
      </w:pPr>
      <w:r w:rsidRPr="22C03B56" w:rsidR="49E158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CPAST averages were calculated from: Exceeds Expectations = 3 points; Meets Expectations = 2 points; </w:t>
      </w:r>
      <w:r w:rsidRPr="22C03B56" w:rsidR="49E158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Emerging</w:t>
      </w:r>
      <w:r w:rsidRPr="22C03B56" w:rsidR="49E1587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1 point; Does Not Meet Expectations (0 points).</w:t>
      </w:r>
    </w:p>
    <w:p w:rsidR="22C03B56" w:rsidP="22C03B56" w:rsidRDefault="22C03B56" w14:paraId="0B8BE73A" w14:textId="14E2D6E2">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2C03B56" w:rsidP="22C03B56" w:rsidRDefault="22C03B56" w14:paraId="785344CE" w14:textId="0552A06C">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333C1121" w:rsidP="22C03B56" w:rsidRDefault="333C1121" w14:paraId="3699AF99" w14:textId="158FD0F8">
      <w:pPr>
        <w:spacing w:before="0" w:beforeAutospacing="off" w:after="0" w:afterAutospacing="off"/>
        <w:jc w:val="left"/>
      </w:pPr>
      <w:r w:rsidRPr="22C03B56" w:rsidR="333C112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Summary </w:t>
      </w:r>
    </w:p>
    <w:p w:rsidR="333C1121" w:rsidP="22C03B56" w:rsidRDefault="333C1121" w14:paraId="5213259E" w14:textId="23725601">
      <w:pPr>
        <w:spacing w:before="0" w:beforeAutospacing="off" w:after="0" w:afterAutospacing="off"/>
        <w:jc w:val="left"/>
      </w:pPr>
      <w:r w:rsidRPr="22C03B56" w:rsidR="333C112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Overall, completers scored at “Meets Expectations” or “Exceed Expectations” in almost </w:t>
      </w:r>
      <w:r w:rsidRPr="22C03B56" w:rsidR="2A37EAD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all categories</w:t>
      </w:r>
      <w:r w:rsidRPr="22C03B56" w:rsidR="333C112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 each Pedagogical area: Planning for Instruction and assessment; Instructional Delivery; Assessment; and Analysis of Teaching. The only areas completers had at midterm as “meets expectations” </w:t>
      </w:r>
      <w:r w:rsidRPr="22C03B56" w:rsidR="333C112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was</w:t>
      </w:r>
      <w:r w:rsidRPr="22C03B56" w:rsidR="333C112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Safe and Respectful Learning Environment (1.75) and Data-Guided Instruction (1.75). However, by the final evaluation completers “Exceeded Expectations” when creating a Safe and Respectful Learning Environment (3.0) and “Meets Expectations” for Data-Guided Instruction (2.75). </w:t>
      </w:r>
    </w:p>
    <w:p w:rsidR="22C03B56" w:rsidP="22C03B56" w:rsidRDefault="22C03B56" w14:paraId="668C819A" w14:textId="601E0E7A">
      <w:pPr>
        <w:jc w:val="left"/>
      </w:pPr>
    </w:p>
    <w:p w:rsidR="22C03B56" w:rsidP="22C03B56" w:rsidRDefault="22C03B56" w14:paraId="6211D6FA" w14:textId="29042768">
      <w:pPr>
        <w:jc w:val="left"/>
      </w:pPr>
    </w:p>
    <w:p w:rsidR="333C1121" w:rsidP="22C03B56" w:rsidRDefault="333C1121" w14:paraId="383F96FD" w14:textId="3399CB76">
      <w:pPr>
        <w:spacing w:before="0" w:beforeAutospacing="off" w:after="0" w:afterAutospacing="off"/>
        <w:jc w:val="left"/>
      </w:pPr>
      <w:r w:rsidRPr="22C03B56" w:rsidR="333C112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Reflection </w:t>
      </w:r>
    </w:p>
    <w:p w:rsidR="333C1121" w:rsidP="22C03B56" w:rsidRDefault="333C1121" w14:paraId="6AE7C394" w14:textId="4F215CA4">
      <w:pPr>
        <w:spacing w:before="0" w:beforeAutospacing="off" w:after="0" w:afterAutospacing="off"/>
        <w:jc w:val="left"/>
      </w:pPr>
      <w:r w:rsidRPr="22C03B56" w:rsidR="333C112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 reviewing the data, completers showed growth in pedagogy and dispositions from midterm to final. In any area, a student-teacher received a consensus score of “0” or “1” additional support was provided from the cooperating teacher and college supervisor. Support was provided in the area by providing the student-teacher with further readings, best practice articles, post-conference discussions, suggestions on the area for improvement, and more opportunities for the student teacher to demonstrate competence. A co-teaching model was implemented to support the student-teacher in some cases. Two areas of Pedagogy that scored lower than other areas were assessment and analysis of teaching.</w:t>
      </w:r>
    </w:p>
    <w:p w:rsidR="22C03B56" w:rsidP="22C03B56" w:rsidRDefault="22C03B56" w14:paraId="3490299D" w14:textId="78635807">
      <w:pPr>
        <w:jc w:val="left"/>
      </w:pPr>
    </w:p>
    <w:p w:rsidR="333C1121" w:rsidP="22C03B56" w:rsidRDefault="333C1121" w14:paraId="559AA75A" w14:textId="57B6ADED">
      <w:pPr>
        <w:spacing w:before="0" w:beforeAutospacing="off" w:after="0" w:afterAutospacing="off"/>
        <w:jc w:val="left"/>
      </w:pPr>
      <w:r w:rsidRPr="22C03B56" w:rsidR="333C112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 the next academic year, the EPP will review the curriculum and clinical experiences to address assessment practices and analysis of teaching. Additionally, the design and rotation of courses will be analyzed to support scaffolding and critical assessment skills within the classroom. The required methods courses will be reviewed to address connections to research and theory.</w:t>
      </w:r>
    </w:p>
    <w:p w:rsidR="22C03B56" w:rsidP="22C03B56" w:rsidRDefault="22C03B56" w14:paraId="7E06D0AE" w14:textId="2358F016">
      <w:pPr>
        <w:jc w:val="left"/>
      </w:pPr>
    </w:p>
    <w:p w:rsidR="22C03B56" w:rsidP="22C03B56" w:rsidRDefault="22C03B56" w14:paraId="1C3C9B4C" w14:textId="060B43F7">
      <w:pPr>
        <w:pStyle w:val="Normal"/>
        <w:spacing w:before="0" w:beforeAutospacing="off" w:after="0" w:afterAutospacing="off"/>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2C03B56" w:rsidP="22C03B56" w:rsidRDefault="22C03B56" w14:paraId="425EE8EE" w14:textId="05EA738C">
      <w:pPr>
        <w:jc w:val="left"/>
      </w:pPr>
    </w:p>
    <w:p w:rsidR="22C03B56" w:rsidP="22C03B56" w:rsidRDefault="22C03B56" w14:paraId="4C7465AE" w14:textId="40F24B28">
      <w:pPr>
        <w:jc w:val="left"/>
      </w:pPr>
    </w:p>
    <w:tbl>
      <w:tblPr>
        <w:tblStyle w:val="TableNormal"/>
        <w:tblW w:w="0" w:type="auto"/>
        <w:tblLayout w:type="fixed"/>
        <w:tblLook w:val="06A0" w:firstRow="1" w:lastRow="0" w:firstColumn="1" w:lastColumn="0" w:noHBand="1" w:noVBand="1"/>
      </w:tblPr>
      <w:tblGrid>
        <w:gridCol w:w="1872"/>
        <w:gridCol w:w="1872"/>
        <w:gridCol w:w="1872"/>
        <w:gridCol w:w="1872"/>
        <w:gridCol w:w="1872"/>
      </w:tblGrid>
      <w:tr w:rsidR="22C03B56" w:rsidTr="22C03B56" w14:paraId="3B19E90F">
        <w:trPr>
          <w:trHeight w:val="345"/>
        </w:trPr>
        <w:tc>
          <w:tcPr>
            <w:tcW w:w="1872" w:type="dxa"/>
            <w:vMerge w:val="restart"/>
            <w:tcBorders>
              <w:top w:val="single" w:color="000000" w:themeColor="text1" w:sz="4"/>
              <w:left w:val="single" w:color="000000" w:themeColor="text1" w:sz="4"/>
              <w:bottom w:val="single" w:color="000000" w:themeColor="text1" w:sz="4"/>
              <w:right w:val="single" w:color="000000" w:themeColor="text1" w:sz="4"/>
            </w:tcBorders>
            <w:shd w:val="clear" w:color="auto" w:fill="CCCCCC"/>
            <w:tcMar>
              <w:left w:w="108" w:type="dxa"/>
              <w:right w:w="108" w:type="dxa"/>
            </w:tcMar>
            <w:vAlign w:val="top"/>
          </w:tcPr>
          <w:p w:rsidR="22C03B56" w:rsidP="22C03B56" w:rsidRDefault="22C03B56" w14:paraId="6B1E53B7" w14:textId="5FA86CD9">
            <w:pPr>
              <w:spacing w:before="0" w:beforeAutospacing="off" w:after="0" w:afterAutospacing="off"/>
            </w:pPr>
          </w:p>
          <w:p w:rsidR="22C03B56" w:rsidP="22C03B56" w:rsidRDefault="22C03B56" w14:paraId="6AB1A8C6" w14:textId="0932D66C">
            <w:pPr>
              <w:spacing w:before="0" w:beforeAutospacing="off" w:after="0" w:afterAutospacing="off"/>
            </w:pPr>
          </w:p>
          <w:p w:rsidR="22C03B56" w:rsidP="22C03B56" w:rsidRDefault="22C03B56" w14:paraId="5D90404B" w14:textId="065C6155">
            <w:pPr>
              <w:spacing w:before="0" w:beforeAutospacing="off" w:after="0" w:afterAutospacing="off"/>
            </w:pPr>
          </w:p>
          <w:p w:rsidR="22C03B56" w:rsidP="22C03B56" w:rsidRDefault="22C03B56" w14:paraId="78F169AF" w14:textId="17F59C8D">
            <w:pPr>
              <w:spacing w:before="0" w:beforeAutospacing="off" w:after="0" w:afterAutospacing="off"/>
            </w:pPr>
          </w:p>
          <w:p w:rsidR="22C03B56" w:rsidP="22C03B56" w:rsidRDefault="22C03B56" w14:paraId="7A1B5A99" w14:textId="1105D334">
            <w:pPr>
              <w:spacing w:before="0" w:beforeAutospacing="off" w:after="0" w:afterAutospacing="off"/>
            </w:pPr>
          </w:p>
          <w:p w:rsidR="22C03B56" w:rsidP="22C03B56" w:rsidRDefault="22C03B56" w14:paraId="3252C0B3" w14:textId="06AE999D">
            <w:pPr>
              <w:spacing w:before="0" w:beforeAutospacing="off" w:after="0" w:afterAutospacing="off"/>
            </w:pPr>
          </w:p>
          <w:p w:rsidR="22C03B56" w:rsidP="22C03B56" w:rsidRDefault="22C03B56" w14:paraId="35039D4D" w14:textId="2F5A761F">
            <w:pPr>
              <w:spacing w:before="0" w:beforeAutospacing="off" w:after="0" w:afterAutospacing="off"/>
            </w:pPr>
          </w:p>
          <w:p w:rsidR="22C03B56" w:rsidP="22C03B56" w:rsidRDefault="22C03B56" w14:paraId="531C3A16" w14:textId="1176686A">
            <w:pPr>
              <w:spacing w:before="0" w:beforeAutospacing="off" w:after="0" w:afterAutospacing="off"/>
            </w:pPr>
          </w:p>
          <w:p w:rsidR="22C03B56" w:rsidP="22C03B56" w:rsidRDefault="22C03B56" w14:paraId="5B0E3344" w14:textId="0989A473">
            <w:pPr>
              <w:spacing w:before="0" w:beforeAutospacing="off" w:after="0" w:afterAutospacing="off"/>
            </w:pPr>
          </w:p>
          <w:p w:rsidR="22C03B56" w:rsidP="22C03B56" w:rsidRDefault="22C03B56" w14:paraId="0935EC62" w14:textId="671897BC">
            <w:pPr>
              <w:spacing w:before="0" w:beforeAutospacing="off" w:after="0" w:afterAutospacing="off"/>
            </w:pPr>
          </w:p>
          <w:p w:rsidR="22C03B56" w:rsidP="22C03B56" w:rsidRDefault="22C03B56" w14:paraId="12D9D01D" w14:textId="3356E6B4">
            <w:pPr>
              <w:spacing w:before="0" w:beforeAutospacing="off" w:after="0" w:afterAutospacing="off"/>
            </w:pPr>
          </w:p>
          <w:p w:rsidR="22C03B56" w:rsidP="22C03B56" w:rsidRDefault="22C03B56" w14:paraId="6E1D0A48" w14:textId="1FA11811">
            <w:pPr>
              <w:spacing w:before="0" w:beforeAutospacing="off" w:after="0" w:afterAutospacing="off"/>
            </w:pPr>
          </w:p>
          <w:p w:rsidR="22C03B56" w:rsidP="22C03B56" w:rsidRDefault="22C03B56" w14:paraId="35B05935" w14:textId="11CD2129">
            <w:pPr>
              <w:spacing w:before="0" w:beforeAutospacing="off" w:after="0" w:afterAutospacing="off"/>
            </w:pPr>
          </w:p>
          <w:p w:rsidR="22C03B56" w:rsidP="22C03B56" w:rsidRDefault="22C03B56" w14:paraId="4336B959" w14:textId="20A9D498">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202</w:t>
            </w:r>
            <w:r w:rsidRPr="22C03B56" w:rsidR="54F53F05">
              <w:rPr>
                <w:rFonts w:ascii="Times New Roman" w:hAnsi="Times New Roman" w:eastAsia="Times New Roman" w:cs="Times New Roman"/>
                <w:b w:val="1"/>
                <w:bCs w:val="1"/>
                <w:i w:val="0"/>
                <w:iCs w:val="0"/>
                <w:strike w:val="0"/>
                <w:dstrike w:val="0"/>
                <w:color w:val="000000" w:themeColor="text1" w:themeTint="FF" w:themeShade="FF"/>
                <w:sz w:val="24"/>
                <w:szCs w:val="24"/>
                <w:u w:val="none"/>
              </w:rPr>
              <w:t>1-22</w:t>
            </w:r>
            <w:r>
              <w:br/>
            </w: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Completers</w:t>
            </w:r>
          </w:p>
          <w:p w:rsidR="22C03B56" w:rsidP="22C03B56" w:rsidRDefault="22C03B56" w14:paraId="28FA29A1" w14:textId="4323F535">
            <w:pPr>
              <w:spacing w:before="0" w:beforeAutospacing="off" w:after="0" w:afterAutospacing="off"/>
            </w:pPr>
          </w:p>
        </w:tc>
        <w:tc>
          <w:tcPr>
            <w:tcW w:w="3744"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CCCCCC"/>
            <w:tcMar>
              <w:left w:w="108" w:type="dxa"/>
              <w:right w:w="108" w:type="dxa"/>
            </w:tcMar>
            <w:vAlign w:val="top"/>
          </w:tcPr>
          <w:p w:rsidR="22C03B56" w:rsidP="22C03B56" w:rsidRDefault="22C03B56" w14:paraId="276C1B55" w14:textId="70BDE4DB">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CPAST</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CCCCCC"/>
            <w:tcMar>
              <w:left w:w="108" w:type="dxa"/>
              <w:right w:w="108" w:type="dxa"/>
            </w:tcMar>
            <w:vAlign w:val="top"/>
          </w:tcPr>
          <w:p w:rsidR="22C03B56" w:rsidP="22C03B56" w:rsidRDefault="22C03B56" w14:paraId="77F81F1C" w14:textId="1EAB50CC">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Midterm</w:t>
            </w:r>
          </w:p>
          <w:p w:rsidR="22C03B56" w:rsidP="22C03B56" w:rsidRDefault="22C03B56" w14:paraId="075AFFCB" w14:textId="6DE486B2">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12"/>
                <w:szCs w:val="12"/>
                <w:u w:val="none"/>
              </w:rPr>
              <w:t>Mean</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CCCCCC"/>
            <w:tcMar>
              <w:left w:w="108" w:type="dxa"/>
              <w:right w:w="108" w:type="dxa"/>
            </w:tcMar>
            <w:vAlign w:val="top"/>
          </w:tcPr>
          <w:p w:rsidR="22C03B56" w:rsidP="22C03B56" w:rsidRDefault="22C03B56" w14:paraId="1C87BCD4" w14:textId="2F66A73D">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Final</w:t>
            </w:r>
          </w:p>
          <w:p w:rsidR="22C03B56" w:rsidP="22C03B56" w:rsidRDefault="22C03B56" w14:paraId="7ED0CBD3" w14:textId="097C7F94">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12"/>
                <w:szCs w:val="12"/>
                <w:u w:val="none"/>
              </w:rPr>
              <w:t>Mean</w:t>
            </w:r>
          </w:p>
        </w:tc>
      </w:tr>
      <w:tr w:rsidR="22C03B56" w:rsidTr="22C03B56" w14:paraId="30890CFB">
        <w:trPr>
          <w:trHeight w:val="300"/>
        </w:trPr>
        <w:tc>
          <w:tcPr>
            <w:tcW w:w="1872" w:type="dxa"/>
            <w:vMerge/>
            <w:tcBorders>
              <w:top w:sz="0"/>
              <w:left w:val="single" w:color="000000" w:themeColor="text1" w:sz="0"/>
              <w:bottom w:sz="0"/>
              <w:right w:val="single" w:color="000000" w:themeColor="text1" w:sz="0"/>
            </w:tcBorders>
            <w:tcMar/>
            <w:vAlign w:val="center"/>
          </w:tcPr>
          <w:p w14:paraId="21A94384"/>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25651AF4" w14:textId="58E6978B">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Pedagogy: Planning for Instruction and Assessment</w:t>
            </w:r>
          </w:p>
        </w:tc>
      </w:tr>
      <w:tr w:rsidR="22C03B56" w:rsidTr="22C03B56" w14:paraId="00995217">
        <w:trPr>
          <w:trHeight w:val="285"/>
        </w:trPr>
        <w:tc>
          <w:tcPr>
            <w:tcW w:w="1872" w:type="dxa"/>
            <w:vMerge/>
            <w:tcBorders>
              <w:top w:sz="0"/>
              <w:left w:val="single" w:color="000000" w:themeColor="text1" w:sz="0"/>
              <w:bottom w:sz="0"/>
              <w:right w:val="single" w:color="000000" w:themeColor="text1" w:sz="0"/>
            </w:tcBorders>
            <w:tcMar/>
            <w:vAlign w:val="center"/>
          </w:tcPr>
          <w:p w14:paraId="55AC8A7A"/>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1DE36CCB" w14:textId="06AE8ED4">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A</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center"/>
          </w:tcPr>
          <w:p w:rsidR="22C03B56" w:rsidP="22C03B56" w:rsidRDefault="22C03B56" w14:paraId="6AFF6FC1" w14:textId="23060F7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Focus for Learning: Standards and Objectives/Targets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75B29F70" w14:textId="2DEC2FD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1CE9A5BC" w14:textId="4FC2768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r>
      <w:tr w:rsidR="22C03B56" w:rsidTr="22C03B56" w14:paraId="116F6543">
        <w:trPr>
          <w:trHeight w:val="300"/>
        </w:trPr>
        <w:tc>
          <w:tcPr>
            <w:tcW w:w="1872" w:type="dxa"/>
            <w:vMerge/>
            <w:tcBorders>
              <w:top w:sz="0"/>
              <w:left w:val="single" w:color="000000" w:themeColor="text1" w:sz="0"/>
              <w:bottom w:sz="0"/>
              <w:right w:val="single" w:color="000000" w:themeColor="text1" w:sz="0"/>
            </w:tcBorders>
            <w:tcMar/>
            <w:vAlign w:val="center"/>
          </w:tcPr>
          <w:p w14:paraId="2EFA79A4"/>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54F55CBF" w14:textId="2B934B2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B</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center"/>
          </w:tcPr>
          <w:p w:rsidR="22C03B56" w:rsidP="22C03B56" w:rsidRDefault="22C03B56" w14:paraId="04ABCE80" w14:textId="457A0AF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Materials and Resources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5D45EDC8" w14:textId="4EE7B4D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2887DC12" w14:textId="2F21B141">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2506C86A">
        <w:trPr>
          <w:trHeight w:val="285"/>
        </w:trPr>
        <w:tc>
          <w:tcPr>
            <w:tcW w:w="1872" w:type="dxa"/>
            <w:vMerge/>
            <w:tcBorders>
              <w:top w:sz="0"/>
              <w:left w:val="single" w:color="000000" w:themeColor="text1" w:sz="0"/>
              <w:bottom w:sz="0"/>
              <w:right w:val="single" w:color="000000" w:themeColor="text1" w:sz="0"/>
            </w:tcBorders>
            <w:tcMar/>
            <w:vAlign w:val="center"/>
          </w:tcPr>
          <w:p w14:paraId="77E2BD9C"/>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529C075A" w14:textId="0E93FE5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C</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center"/>
          </w:tcPr>
          <w:p w:rsidR="22C03B56" w:rsidP="22C03B56" w:rsidRDefault="22C03B56" w14:paraId="40D11764" w14:textId="1302964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Assessment of P-12 Learning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1C8A124B" w14:textId="47926E99">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2.25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7B835807" w14:textId="0C8346E9">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5B1B9FDF">
        <w:trPr>
          <w:trHeight w:val="300"/>
        </w:trPr>
        <w:tc>
          <w:tcPr>
            <w:tcW w:w="1872" w:type="dxa"/>
            <w:vMerge/>
            <w:tcBorders>
              <w:top w:sz="0"/>
              <w:left w:val="single" w:color="000000" w:themeColor="text1" w:sz="0"/>
              <w:bottom w:sz="0"/>
              <w:right w:val="single" w:color="000000" w:themeColor="text1" w:sz="0"/>
            </w:tcBorders>
            <w:tcMar/>
            <w:vAlign w:val="center"/>
          </w:tcPr>
          <w:p w14:paraId="0AA2CE61"/>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05FDE8EA" w14:textId="5F68329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D</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center"/>
          </w:tcPr>
          <w:p w:rsidR="22C03B56" w:rsidP="22C03B56" w:rsidRDefault="22C03B56" w14:paraId="17DF7FB9" w14:textId="3475D6D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Differentiated Methods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31A22AD2" w14:textId="47F0D4D3">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2EFD9" w:themeFill="accent6" w:themeFillTint="33"/>
            <w:tcMar>
              <w:left w:w="108" w:type="dxa"/>
              <w:right w:w="108" w:type="dxa"/>
            </w:tcMar>
            <w:vAlign w:val="top"/>
          </w:tcPr>
          <w:p w:rsidR="22C03B56" w:rsidP="22C03B56" w:rsidRDefault="22C03B56" w14:paraId="308F933E" w14:textId="7973B0C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3FBDEF83">
        <w:trPr>
          <w:trHeight w:val="285"/>
        </w:trPr>
        <w:tc>
          <w:tcPr>
            <w:tcW w:w="1872" w:type="dxa"/>
            <w:vMerge/>
            <w:tcBorders>
              <w:top w:sz="0"/>
              <w:left w:val="single" w:color="000000" w:themeColor="text1" w:sz="0"/>
              <w:bottom w:sz="0"/>
              <w:right w:val="single" w:color="000000" w:themeColor="text1" w:sz="0"/>
            </w:tcBorders>
            <w:tcMar/>
            <w:vAlign w:val="center"/>
          </w:tcPr>
          <w:p w14:paraId="6C9FCFE3"/>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39BAFA88" w14:textId="0BDE4DD1">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Pedagogy: Instructional Delivery</w:t>
            </w:r>
          </w:p>
        </w:tc>
      </w:tr>
      <w:tr w:rsidR="22C03B56" w:rsidTr="22C03B56" w14:paraId="4368B050">
        <w:trPr>
          <w:trHeight w:val="300"/>
        </w:trPr>
        <w:tc>
          <w:tcPr>
            <w:tcW w:w="1872" w:type="dxa"/>
            <w:vMerge/>
            <w:tcBorders>
              <w:top w:sz="0"/>
              <w:left w:val="single" w:color="000000" w:themeColor="text1" w:sz="0"/>
              <w:bottom w:sz="0"/>
              <w:right w:val="single" w:color="000000" w:themeColor="text1" w:sz="0"/>
            </w:tcBorders>
            <w:tcMar/>
            <w:vAlign w:val="center"/>
          </w:tcPr>
          <w:p w14:paraId="508F5113"/>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0330D7B5" w14:textId="3CE31E1F">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E</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center"/>
          </w:tcPr>
          <w:p w:rsidR="22C03B56" w:rsidP="22C03B56" w:rsidRDefault="22C03B56" w14:paraId="0F30668F" w14:textId="003AE6B2">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Learning Target and Directions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44A2691A" w14:textId="360CD76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1C79A665" w14:textId="032186B4">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44D46F70">
        <w:trPr>
          <w:trHeight w:val="285"/>
        </w:trPr>
        <w:tc>
          <w:tcPr>
            <w:tcW w:w="1872" w:type="dxa"/>
            <w:vMerge/>
            <w:tcBorders>
              <w:top w:sz="0"/>
              <w:left w:val="single" w:color="000000" w:themeColor="text1" w:sz="0"/>
              <w:bottom w:sz="0"/>
              <w:right w:val="single" w:color="000000" w:themeColor="text1" w:sz="0"/>
            </w:tcBorders>
            <w:tcMar/>
            <w:vAlign w:val="center"/>
          </w:tcPr>
          <w:p w14:paraId="6255FE4E"/>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47937E17" w14:textId="64E63563">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F</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center"/>
          </w:tcPr>
          <w:p w:rsidR="22C03B56" w:rsidP="22C03B56" w:rsidRDefault="22C03B56" w14:paraId="23478283" w14:textId="2B9D217C">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Critical Thinking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10B0FADF" w14:textId="0C9A91E8">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486B0983" w14:textId="24089B2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r>
      <w:tr w:rsidR="22C03B56" w:rsidTr="22C03B56" w14:paraId="546C91A7">
        <w:trPr>
          <w:trHeight w:val="300"/>
        </w:trPr>
        <w:tc>
          <w:tcPr>
            <w:tcW w:w="1872" w:type="dxa"/>
            <w:vMerge/>
            <w:tcBorders>
              <w:top w:sz="0"/>
              <w:left w:val="single" w:color="000000" w:themeColor="text1" w:sz="0"/>
              <w:bottom w:sz="0"/>
              <w:right w:val="single" w:color="000000" w:themeColor="text1" w:sz="0"/>
            </w:tcBorders>
            <w:tcMar/>
            <w:vAlign w:val="center"/>
          </w:tcPr>
          <w:p w14:paraId="278815B8"/>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57CCAFF6" w14:textId="52983B5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G</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center"/>
          </w:tcPr>
          <w:p w:rsidR="22C03B56" w:rsidP="22C03B56" w:rsidRDefault="22C03B56" w14:paraId="1FE26F44" w14:textId="632876F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Checking for Understanding and Adjusting Instruction through Formative Assessment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158AA396" w14:textId="2C85E081">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1ABAF219" w14:textId="5E643168">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5516008B">
        <w:trPr>
          <w:trHeight w:val="300"/>
        </w:trPr>
        <w:tc>
          <w:tcPr>
            <w:tcW w:w="1872" w:type="dxa"/>
            <w:vMerge/>
            <w:tcBorders>
              <w:top w:sz="0"/>
              <w:left w:val="single" w:color="000000" w:themeColor="text1" w:sz="0"/>
              <w:bottom w:sz="0"/>
              <w:right w:val="single" w:color="000000" w:themeColor="text1" w:sz="0"/>
            </w:tcBorders>
            <w:tcMar/>
            <w:vAlign w:val="center"/>
          </w:tcPr>
          <w:p w14:paraId="1E68228B"/>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63ACE309" w14:textId="459A340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H</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center"/>
          </w:tcPr>
          <w:p w:rsidR="22C03B56" w:rsidP="22C03B56" w:rsidRDefault="22C03B56" w14:paraId="76904F7B" w14:textId="54003A8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Digital Tools and Resources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4B32DB5F" w14:textId="3437423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0552EB29" w14:textId="654C4DC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r>
      <w:tr w:rsidR="22C03B56" w:rsidTr="22C03B56" w14:paraId="74CC4BEB">
        <w:trPr>
          <w:trHeight w:val="285"/>
        </w:trPr>
        <w:tc>
          <w:tcPr>
            <w:tcW w:w="1872" w:type="dxa"/>
            <w:vMerge/>
            <w:tcBorders>
              <w:top w:sz="0"/>
              <w:left w:val="single" w:color="000000" w:themeColor="text1" w:sz="0"/>
              <w:bottom w:sz="0"/>
              <w:right w:val="single" w:color="000000" w:themeColor="text1" w:sz="0"/>
            </w:tcBorders>
            <w:tcMar/>
            <w:vAlign w:val="center"/>
          </w:tcPr>
          <w:p w14:paraId="523BE985"/>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4D52E7A1" w14:textId="0EEC0D6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I</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center"/>
          </w:tcPr>
          <w:p w:rsidR="22C03B56" w:rsidP="22C03B56" w:rsidRDefault="22C03B56" w14:paraId="2C6F9E0A" w14:textId="1254BFE9">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Safe and Respectful Learning Environment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7D7B54AE" w14:textId="5A9D54EC">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1.75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7F7D2677" w14:textId="70CC702F">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6FAADA9D">
        <w:trPr>
          <w:trHeight w:val="300"/>
        </w:trPr>
        <w:tc>
          <w:tcPr>
            <w:tcW w:w="1872" w:type="dxa"/>
            <w:vMerge/>
            <w:tcBorders>
              <w:top w:sz="0"/>
              <w:left w:val="single" w:color="000000" w:themeColor="text1" w:sz="0"/>
              <w:bottom w:sz="0"/>
              <w:right w:val="single" w:color="000000" w:themeColor="text1" w:sz="0"/>
            </w:tcBorders>
            <w:tcMar/>
            <w:vAlign w:val="center"/>
          </w:tcPr>
          <w:p w14:paraId="3866F3AA"/>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5A9EFEBC" w14:textId="17ECEB8A">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Pedagogy: Assessment</w:t>
            </w:r>
          </w:p>
        </w:tc>
      </w:tr>
      <w:tr w:rsidR="22C03B56" w:rsidTr="22C03B56" w14:paraId="09984B26">
        <w:trPr>
          <w:trHeight w:val="285"/>
        </w:trPr>
        <w:tc>
          <w:tcPr>
            <w:tcW w:w="1872" w:type="dxa"/>
            <w:vMerge/>
            <w:tcBorders>
              <w:top w:sz="0"/>
              <w:left w:val="single" w:color="000000" w:themeColor="text1" w:sz="0"/>
              <w:bottom w:sz="0"/>
              <w:right w:val="single" w:color="000000" w:themeColor="text1" w:sz="0"/>
            </w:tcBorders>
            <w:tcMar/>
            <w:vAlign w:val="center"/>
          </w:tcPr>
          <w:p w14:paraId="23230D5C"/>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50575506" w14:textId="234534E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J</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center"/>
          </w:tcPr>
          <w:p w:rsidR="22C03B56" w:rsidP="22C03B56" w:rsidRDefault="22C03B56" w14:paraId="293EC618" w14:textId="628B8AD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Data-Guided Instruction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1B0F5C19" w14:textId="6422B0D3">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1.75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41C61734" w14:textId="23345B74">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r>
      <w:tr w:rsidR="22C03B56" w:rsidTr="22C03B56" w14:paraId="3B0875BA">
        <w:trPr>
          <w:trHeight w:val="300"/>
        </w:trPr>
        <w:tc>
          <w:tcPr>
            <w:tcW w:w="1872" w:type="dxa"/>
            <w:vMerge/>
            <w:tcBorders>
              <w:top w:sz="0"/>
              <w:left w:val="single" w:color="000000" w:themeColor="text1" w:sz="0"/>
              <w:bottom w:sz="0"/>
              <w:right w:val="single" w:color="000000" w:themeColor="text1" w:sz="0"/>
            </w:tcBorders>
            <w:tcMar/>
            <w:vAlign w:val="center"/>
          </w:tcPr>
          <w:p w14:paraId="08A3DFC6"/>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4377AC91" w14:textId="248B566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K</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center"/>
          </w:tcPr>
          <w:p w:rsidR="22C03B56" w:rsidP="22C03B56" w:rsidRDefault="22C03B56" w14:paraId="66B651F5" w14:textId="45FAA1D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Feedback to Learners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435504CB" w14:textId="2348DF4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7CF2E435" w14:textId="7124F69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r>
      <w:tr w:rsidR="22C03B56" w:rsidTr="22C03B56" w14:paraId="5FE05FDB">
        <w:trPr>
          <w:trHeight w:val="285"/>
        </w:trPr>
        <w:tc>
          <w:tcPr>
            <w:tcW w:w="1872" w:type="dxa"/>
            <w:vMerge/>
            <w:tcBorders>
              <w:top w:sz="0"/>
              <w:left w:val="single" w:color="000000" w:themeColor="text1" w:sz="0"/>
              <w:bottom w:sz="0"/>
              <w:right w:val="single" w:color="000000" w:themeColor="text1" w:sz="0"/>
            </w:tcBorders>
            <w:tcMar/>
            <w:vAlign w:val="center"/>
          </w:tcPr>
          <w:p w14:paraId="294743ED"/>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3FE3429D" w14:textId="0515593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L</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center"/>
          </w:tcPr>
          <w:p w:rsidR="22C03B56" w:rsidP="22C03B56" w:rsidRDefault="22C03B56" w14:paraId="349A7CD9" w14:textId="6472F1D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Assessment Techniques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41F91133" w14:textId="53A1A8E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2.25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E7D7F9"/>
            <w:tcMar>
              <w:left w:w="108" w:type="dxa"/>
              <w:right w:w="108" w:type="dxa"/>
            </w:tcMar>
            <w:vAlign w:val="top"/>
          </w:tcPr>
          <w:p w:rsidR="22C03B56" w:rsidP="22C03B56" w:rsidRDefault="22C03B56" w14:paraId="16BB5A13" w14:textId="48BD19EB">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792C1C3B">
        <w:trPr>
          <w:trHeight w:val="300"/>
        </w:trPr>
        <w:tc>
          <w:tcPr>
            <w:tcW w:w="1872" w:type="dxa"/>
            <w:vMerge/>
            <w:tcBorders>
              <w:top w:sz="0"/>
              <w:left w:val="single" w:color="000000" w:themeColor="text1" w:sz="0"/>
              <w:bottom w:sz="0"/>
              <w:right w:val="single" w:color="000000" w:themeColor="text1" w:sz="0"/>
            </w:tcBorders>
            <w:tcMar/>
            <w:vAlign w:val="center"/>
          </w:tcPr>
          <w:p w14:paraId="24EF1A2E"/>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150F3FF5" w14:textId="3CD29B7B">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Pedagogy: Analysis of Teaching</w:t>
            </w:r>
          </w:p>
        </w:tc>
      </w:tr>
      <w:tr w:rsidR="22C03B56" w:rsidTr="22C03B56" w14:paraId="152F4968">
        <w:trPr>
          <w:trHeight w:val="285"/>
        </w:trPr>
        <w:tc>
          <w:tcPr>
            <w:tcW w:w="1872" w:type="dxa"/>
            <w:vMerge/>
            <w:tcBorders>
              <w:top w:sz="0"/>
              <w:left w:val="single" w:color="000000" w:themeColor="text1" w:sz="0"/>
              <w:bottom w:sz="0"/>
              <w:right w:val="single" w:color="000000" w:themeColor="text1" w:sz="0"/>
            </w:tcBorders>
            <w:tcMar/>
            <w:vAlign w:val="center"/>
          </w:tcPr>
          <w:p w14:paraId="37AB5E74"/>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3AAA5"/>
            <w:tcMar>
              <w:left w:w="108" w:type="dxa"/>
              <w:right w:w="108" w:type="dxa"/>
            </w:tcMar>
            <w:vAlign w:val="top"/>
          </w:tcPr>
          <w:p w:rsidR="22C03B56" w:rsidP="22C03B56" w:rsidRDefault="22C03B56" w14:paraId="35782E5D" w14:textId="784786D7">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M</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3AAA5"/>
            <w:tcMar>
              <w:left w:w="108" w:type="dxa"/>
              <w:right w:w="108" w:type="dxa"/>
            </w:tcMar>
            <w:vAlign w:val="center"/>
          </w:tcPr>
          <w:p w:rsidR="22C03B56" w:rsidP="22C03B56" w:rsidRDefault="22C03B56" w14:paraId="0599F983" w14:textId="2FB47857">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Connections to Research and Theory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3AAA5"/>
            <w:tcMar>
              <w:left w:w="108" w:type="dxa"/>
              <w:right w:w="108" w:type="dxa"/>
            </w:tcMar>
            <w:vAlign w:val="top"/>
          </w:tcPr>
          <w:p w:rsidR="22C03B56" w:rsidP="22C03B56" w:rsidRDefault="22C03B56" w14:paraId="45F9AB0D" w14:textId="400974F2">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3AAA5"/>
            <w:tcMar>
              <w:left w:w="108" w:type="dxa"/>
              <w:right w:w="108" w:type="dxa"/>
            </w:tcMar>
            <w:vAlign w:val="top"/>
          </w:tcPr>
          <w:p w:rsidR="22C03B56" w:rsidP="22C03B56" w:rsidRDefault="22C03B56" w14:paraId="655E6613" w14:textId="2F713A8B">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r>
      <w:tr w:rsidR="22C03B56" w:rsidTr="22C03B56" w14:paraId="23BFE1A0">
        <w:trPr>
          <w:trHeight w:val="300"/>
        </w:trPr>
        <w:tc>
          <w:tcPr>
            <w:tcW w:w="1872" w:type="dxa"/>
            <w:vMerge/>
            <w:tcBorders>
              <w:top w:sz="0"/>
              <w:left w:val="single" w:color="000000" w:themeColor="text1" w:sz="0"/>
              <w:bottom w:sz="0"/>
              <w:right w:val="single" w:color="000000" w:themeColor="text1" w:sz="0"/>
            </w:tcBorders>
            <w:tcMar/>
            <w:vAlign w:val="center"/>
          </w:tcPr>
          <w:p w14:paraId="536FD57E"/>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7D92DF43" w14:textId="4B5EF5EB">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Disposition: Professional Commitment and Behaviors</w:t>
            </w:r>
          </w:p>
        </w:tc>
      </w:tr>
      <w:tr w:rsidR="22C03B56" w:rsidTr="22C03B56" w14:paraId="6EC19AB0">
        <w:trPr>
          <w:trHeight w:val="285"/>
        </w:trPr>
        <w:tc>
          <w:tcPr>
            <w:tcW w:w="1872" w:type="dxa"/>
            <w:vMerge/>
            <w:tcBorders>
              <w:top w:sz="0"/>
              <w:left w:val="single" w:color="000000" w:themeColor="text1" w:sz="0"/>
              <w:bottom w:sz="0"/>
              <w:right w:val="single" w:color="000000" w:themeColor="text1" w:sz="0"/>
            </w:tcBorders>
            <w:tcMar/>
            <w:vAlign w:val="center"/>
          </w:tcPr>
          <w:p w14:paraId="199A6F24"/>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27A03CB4" w14:textId="3E0C575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N</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center"/>
          </w:tcPr>
          <w:p w:rsidR="22C03B56" w:rsidP="22C03B56" w:rsidRDefault="22C03B56" w14:paraId="259C9BB1" w14:textId="316A2721">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Participates in Professional Development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48A3EC85" w14:textId="78123FF3">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6DB473CC" w14:textId="7DDE64F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2CDB07C3">
        <w:trPr>
          <w:trHeight w:val="300"/>
        </w:trPr>
        <w:tc>
          <w:tcPr>
            <w:tcW w:w="1872" w:type="dxa"/>
            <w:vMerge/>
            <w:tcBorders>
              <w:top w:sz="0"/>
              <w:left w:val="single" w:color="000000" w:themeColor="text1" w:sz="0"/>
              <w:bottom w:sz="0"/>
              <w:right w:val="single" w:color="000000" w:themeColor="text1" w:sz="0"/>
            </w:tcBorders>
            <w:tcMar/>
            <w:vAlign w:val="center"/>
          </w:tcPr>
          <w:p w14:paraId="7A17DD2F"/>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713E63AB" w14:textId="1DE6B43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O</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center"/>
          </w:tcPr>
          <w:p w:rsidR="22C03B56" w:rsidP="22C03B56" w:rsidRDefault="22C03B56" w14:paraId="165E3E1A" w14:textId="2FE0ED62">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Demonstrates Effective Communication with Parents or Legal Guardians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1CC086D8" w14:textId="1DFBCB0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68E6CC45" w14:textId="78000D5C">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14BFB2AE">
        <w:trPr>
          <w:trHeight w:val="285"/>
        </w:trPr>
        <w:tc>
          <w:tcPr>
            <w:tcW w:w="1872" w:type="dxa"/>
            <w:vMerge/>
            <w:tcBorders>
              <w:top w:sz="0"/>
              <w:left w:val="single" w:color="000000" w:themeColor="text1" w:sz="0"/>
              <w:bottom w:sz="0"/>
              <w:right w:val="single" w:color="000000" w:themeColor="text1" w:sz="0"/>
            </w:tcBorders>
            <w:tcMar/>
            <w:vAlign w:val="center"/>
          </w:tcPr>
          <w:p w14:paraId="564669AB"/>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4A638C79" w14:textId="291F6E3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P</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center"/>
          </w:tcPr>
          <w:p w:rsidR="22C03B56" w:rsidP="22C03B56" w:rsidRDefault="22C03B56" w14:paraId="469C0481" w14:textId="2E46F38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Demonstrates Punctuality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196BA23C" w14:textId="27A9AC94">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335CCED3" w14:textId="5E3534A7">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59127DC3">
        <w:trPr>
          <w:trHeight w:val="300"/>
        </w:trPr>
        <w:tc>
          <w:tcPr>
            <w:tcW w:w="1872" w:type="dxa"/>
            <w:vMerge/>
            <w:tcBorders>
              <w:top w:sz="0"/>
              <w:left w:val="single" w:color="000000" w:themeColor="text1" w:sz="0"/>
              <w:bottom w:sz="0"/>
              <w:right w:val="single" w:color="000000" w:themeColor="text1" w:sz="0"/>
            </w:tcBorders>
            <w:tcMar/>
            <w:vAlign w:val="center"/>
          </w:tcPr>
          <w:p w14:paraId="61E0FA24"/>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5B28D5BB" w14:textId="2F2C951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Q</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center"/>
          </w:tcPr>
          <w:p w:rsidR="22C03B56" w:rsidP="22C03B56" w:rsidRDefault="22C03B56" w14:paraId="4AFF6C08" w14:textId="3E9BCE1A">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Meets Deadlines and Obligations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70EF05F1" w14:textId="64622FA8">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2.75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E2AE"/>
            <w:tcMar>
              <w:left w:w="108" w:type="dxa"/>
              <w:right w:w="108" w:type="dxa"/>
            </w:tcMar>
            <w:vAlign w:val="top"/>
          </w:tcPr>
          <w:p w:rsidR="22C03B56" w:rsidP="22C03B56" w:rsidRDefault="22C03B56" w14:paraId="7875E62C" w14:textId="1AA720A7">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05597792">
        <w:trPr>
          <w:trHeight w:val="285"/>
        </w:trPr>
        <w:tc>
          <w:tcPr>
            <w:tcW w:w="1872" w:type="dxa"/>
            <w:vMerge/>
            <w:tcBorders>
              <w:top w:sz="0"/>
              <w:left w:val="single" w:color="000000" w:themeColor="text1" w:sz="0"/>
              <w:bottom w:sz="0"/>
              <w:right w:val="single" w:color="000000" w:themeColor="text1" w:sz="0"/>
            </w:tcBorders>
            <w:tcMar/>
            <w:vAlign w:val="center"/>
          </w:tcPr>
          <w:p w14:paraId="0E6F2870"/>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4EE46CFC" w14:textId="66E713F9">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Disposition: Professional Relationships</w:t>
            </w:r>
          </w:p>
        </w:tc>
      </w:tr>
      <w:tr w:rsidR="22C03B56" w:rsidTr="22C03B56" w14:paraId="341FFDD1">
        <w:trPr>
          <w:trHeight w:val="300"/>
        </w:trPr>
        <w:tc>
          <w:tcPr>
            <w:tcW w:w="1872" w:type="dxa"/>
            <w:vMerge/>
            <w:tcBorders>
              <w:top w:sz="0"/>
              <w:left w:val="single" w:color="000000" w:themeColor="text1" w:sz="0"/>
              <w:bottom w:sz="0"/>
              <w:right w:val="single" w:color="000000" w:themeColor="text1" w:sz="0"/>
            </w:tcBorders>
            <w:tcMar/>
            <w:vAlign w:val="center"/>
          </w:tcPr>
          <w:p w14:paraId="29E09FD9"/>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042A5F03" w14:textId="6F76967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R</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center"/>
          </w:tcPr>
          <w:p w:rsidR="22C03B56" w:rsidP="22C03B56" w:rsidRDefault="22C03B56" w14:paraId="30694C7F" w14:textId="0B54D47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Preparation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1AFF0854" w14:textId="4E9185D2">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39968489" w14:textId="035300F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36C0310F">
        <w:trPr>
          <w:trHeight w:val="285"/>
        </w:trPr>
        <w:tc>
          <w:tcPr>
            <w:tcW w:w="1872" w:type="dxa"/>
            <w:vMerge/>
            <w:tcBorders>
              <w:top w:sz="0"/>
              <w:left w:val="single" w:color="000000" w:themeColor="text1" w:sz="0"/>
              <w:bottom w:sz="0"/>
              <w:right w:val="single" w:color="000000" w:themeColor="text1" w:sz="0"/>
            </w:tcBorders>
            <w:tcMar/>
            <w:vAlign w:val="center"/>
          </w:tcPr>
          <w:p w14:paraId="6EFFC32B"/>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7D6068C7" w14:textId="5D8FE3F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S</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center"/>
          </w:tcPr>
          <w:p w:rsidR="22C03B56" w:rsidP="22C03B56" w:rsidRDefault="22C03B56" w14:paraId="59E2B5DD" w14:textId="0E1B48D3">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Collaboration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204E859D" w14:textId="333C09C2">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36AF8C3C" w14:textId="7C97837D">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5127DEA8">
        <w:trPr>
          <w:trHeight w:val="300"/>
        </w:trPr>
        <w:tc>
          <w:tcPr>
            <w:tcW w:w="1872" w:type="dxa"/>
            <w:vMerge/>
            <w:tcBorders>
              <w:top w:sz="0"/>
              <w:left w:val="single" w:color="000000" w:themeColor="text1" w:sz="0"/>
              <w:bottom w:sz="0"/>
              <w:right w:val="single" w:color="000000" w:themeColor="text1" w:sz="0"/>
            </w:tcBorders>
            <w:tcMar/>
            <w:vAlign w:val="center"/>
          </w:tcPr>
          <w:p w14:paraId="4E5EAF61"/>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103DAAC6" w14:textId="37C1FA75">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T</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center"/>
          </w:tcPr>
          <w:p w:rsidR="22C03B56" w:rsidP="22C03B56" w:rsidRDefault="22C03B56" w14:paraId="782C0426" w14:textId="59C7F4D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Advocacy to Meet the Needs of Learners or for the Teaching Profession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5355882E" w14:textId="7D719C58">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2.5</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FFFFC7"/>
            <w:tcMar>
              <w:left w:w="108" w:type="dxa"/>
              <w:right w:w="108" w:type="dxa"/>
            </w:tcMar>
            <w:vAlign w:val="top"/>
          </w:tcPr>
          <w:p w:rsidR="22C03B56" w:rsidP="22C03B56" w:rsidRDefault="22C03B56" w14:paraId="38212951" w14:textId="44F8B1A1">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r w:rsidR="22C03B56" w:rsidTr="22C03B56" w14:paraId="3C6304B7">
        <w:trPr>
          <w:trHeight w:val="300"/>
        </w:trPr>
        <w:tc>
          <w:tcPr>
            <w:tcW w:w="1872" w:type="dxa"/>
            <w:vMerge/>
            <w:tcBorders>
              <w:top w:sz="0"/>
              <w:left w:val="single" w:color="000000" w:themeColor="text1" w:sz="0"/>
              <w:bottom w:sz="0"/>
              <w:right w:val="single" w:color="000000" w:themeColor="text1" w:sz="0"/>
            </w:tcBorders>
            <w:tcMar/>
            <w:vAlign w:val="center"/>
          </w:tcPr>
          <w:p w14:paraId="40137978"/>
        </w:tc>
        <w:tc>
          <w:tcPr>
            <w:tcW w:w="7488" w:type="dxa"/>
            <w:gridSpan w:val="4"/>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729CF14A" w14:textId="44C2946E">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2"/>
                <w:szCs w:val="22"/>
                <w:u w:val="none"/>
              </w:rPr>
              <w:t>Disposition: Critical Thinking and Reflective Practice</w:t>
            </w:r>
          </w:p>
        </w:tc>
      </w:tr>
      <w:tr w:rsidR="22C03B56" w:rsidTr="22C03B56" w14:paraId="3B3668AD">
        <w:trPr>
          <w:trHeight w:val="285"/>
        </w:trPr>
        <w:tc>
          <w:tcPr>
            <w:tcW w:w="1872"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326BA5B8"/>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53FFFF"/>
            <w:tcMar>
              <w:left w:w="108" w:type="dxa"/>
              <w:right w:w="108" w:type="dxa"/>
            </w:tcMar>
            <w:vAlign w:val="top"/>
          </w:tcPr>
          <w:p w:rsidR="22C03B56" w:rsidP="22C03B56" w:rsidRDefault="22C03B56" w14:paraId="04546CAE" w14:textId="1FE55A04">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U</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53FFFF"/>
            <w:tcMar>
              <w:left w:w="108" w:type="dxa"/>
              <w:right w:w="108" w:type="dxa"/>
            </w:tcMar>
            <w:vAlign w:val="center"/>
          </w:tcPr>
          <w:p w:rsidR="22C03B56" w:rsidP="22C03B56" w:rsidRDefault="22C03B56" w14:paraId="18EDA265" w14:textId="627699DE">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19"/>
                <w:szCs w:val="19"/>
                <w:u w:val="none"/>
              </w:rPr>
              <w:t xml:space="preserve">Responds Positively to Constructive Criticism </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53FFFF"/>
            <w:tcMar>
              <w:left w:w="108" w:type="dxa"/>
              <w:right w:w="108" w:type="dxa"/>
            </w:tcMar>
            <w:vAlign w:val="top"/>
          </w:tcPr>
          <w:p w:rsidR="22C03B56" w:rsidP="22C03B56" w:rsidRDefault="22C03B56" w14:paraId="5669A279" w14:textId="181FB7B7">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c>
          <w:tcPr>
            <w:tcW w:w="1872" w:type="dxa"/>
            <w:tcBorders>
              <w:top w:val="single" w:color="000000" w:themeColor="text1" w:sz="4"/>
              <w:left w:val="single" w:color="000000" w:themeColor="text1" w:sz="4"/>
              <w:bottom w:val="single" w:color="000000" w:themeColor="text1" w:sz="4"/>
              <w:right w:val="single" w:color="000000" w:themeColor="text1" w:sz="4"/>
            </w:tcBorders>
            <w:shd w:val="clear" w:color="auto" w:fill="53FFFF"/>
            <w:tcMar>
              <w:left w:w="108" w:type="dxa"/>
              <w:right w:w="108" w:type="dxa"/>
            </w:tcMar>
            <w:vAlign w:val="top"/>
          </w:tcPr>
          <w:p w:rsidR="22C03B56" w:rsidP="22C03B56" w:rsidRDefault="22C03B56" w14:paraId="478DB648" w14:textId="65EC9848">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2"/>
                <w:szCs w:val="22"/>
                <w:u w:val="none"/>
              </w:rPr>
              <w:t>3</w:t>
            </w:r>
          </w:p>
        </w:tc>
      </w:tr>
    </w:tbl>
    <w:p w:rsidR="22C03B56" w:rsidP="22C03B56" w:rsidRDefault="22C03B56" w14:paraId="3D74D5D0" w14:textId="6FE48D6F">
      <w:pPr>
        <w:jc w:val="left"/>
      </w:pPr>
    </w:p>
    <w:tbl>
      <w:tblPr>
        <w:tblStyle w:val="TableNormal"/>
        <w:tblW w:w="0" w:type="auto"/>
        <w:tblLayout w:type="fixed"/>
        <w:tblLook w:val="06A0" w:firstRow="1" w:lastRow="0" w:firstColumn="1" w:lastColumn="0" w:noHBand="1" w:noVBand="1"/>
      </w:tblPr>
      <w:tblGrid>
        <w:gridCol w:w="3120"/>
        <w:gridCol w:w="3120"/>
        <w:gridCol w:w="3120"/>
      </w:tblGrid>
      <w:tr w:rsidR="22C03B56" w:rsidTr="22C03B56" w14:paraId="11A85DDB">
        <w:trPr>
          <w:trHeight w:val="435"/>
        </w:trPr>
        <w:tc>
          <w:tcPr>
            <w:tcW w:w="312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18CC6CCC" w14:textId="01262E9F">
            <w:pPr>
              <w:spacing w:before="0" w:beforeAutospacing="off" w:after="0" w:afterAutospacing="off"/>
            </w:pPr>
          </w:p>
        </w:tc>
        <w:tc>
          <w:tcPr>
            <w:tcW w:w="3120"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left w:w="108" w:type="dxa"/>
              <w:right w:w="108" w:type="dxa"/>
            </w:tcMar>
            <w:vAlign w:val="top"/>
          </w:tcPr>
          <w:p w:rsidR="22C03B56" w:rsidP="22C03B56" w:rsidRDefault="22C03B56" w14:paraId="06A60293" w14:textId="52DA26E3">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Midterm</w:t>
            </w:r>
          </w:p>
          <w:p w:rsidR="22C03B56" w:rsidP="22C03B56" w:rsidRDefault="22C03B56" w14:paraId="5DDE401A" w14:textId="2DF9DCC8">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12"/>
                <w:szCs w:val="12"/>
                <w:u w:val="none"/>
              </w:rPr>
              <w:t>Mean</w:t>
            </w:r>
          </w:p>
        </w:tc>
        <w:tc>
          <w:tcPr>
            <w:tcW w:w="3120" w:type="dxa"/>
            <w:tcBorders>
              <w:top w:val="single" w:color="000000" w:themeColor="text1" w:sz="4"/>
              <w:left w:val="single" w:color="000000" w:themeColor="text1" w:sz="4"/>
              <w:bottom w:val="single" w:color="000000" w:themeColor="text1" w:sz="4"/>
              <w:right w:val="single" w:color="000000" w:themeColor="text1" w:sz="4"/>
            </w:tcBorders>
            <w:shd w:val="clear" w:color="auto" w:fill="EDEDED" w:themeFill="accent3" w:themeFillTint="33"/>
            <w:tcMar>
              <w:left w:w="108" w:type="dxa"/>
              <w:right w:w="108" w:type="dxa"/>
            </w:tcMar>
            <w:vAlign w:val="top"/>
          </w:tcPr>
          <w:p w:rsidR="22C03B56" w:rsidP="22C03B56" w:rsidRDefault="22C03B56" w14:paraId="01ABB8B7" w14:textId="5235C92D">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Final</w:t>
            </w:r>
          </w:p>
          <w:p w:rsidR="22C03B56" w:rsidP="22C03B56" w:rsidRDefault="22C03B56" w14:paraId="6B0C695D" w14:textId="13BEE6A7">
            <w:pPr>
              <w:spacing w:before="0" w:beforeAutospacing="off" w:after="0" w:afterAutospacing="off"/>
              <w:jc w:val="center"/>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12"/>
                <w:szCs w:val="12"/>
                <w:u w:val="none"/>
              </w:rPr>
              <w:t>Mean</w:t>
            </w:r>
          </w:p>
        </w:tc>
      </w:tr>
      <w:tr w:rsidR="22C03B56" w:rsidTr="22C03B56" w14:paraId="0940C718">
        <w:trPr>
          <w:trHeight w:val="75"/>
        </w:trPr>
        <w:tc>
          <w:tcPr>
            <w:tcW w:w="312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483CB230" w14:textId="091B0B12">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Pedagogy</w:t>
            </w:r>
          </w:p>
        </w:tc>
        <w:tc>
          <w:tcPr>
            <w:tcW w:w="3120" w:type="dxa"/>
            <w:tcBorders>
              <w:top w:val="single" w:color="000000" w:themeColor="text1" w:sz="4"/>
              <w:left w:val="single" w:color="000000" w:themeColor="text1" w:sz="4"/>
              <w:bottom w:val="single" w:color="000000" w:themeColor="text1" w:sz="4"/>
              <w:right w:val="single" w:color="000000" w:themeColor="text1" w:sz="4"/>
            </w:tcBorders>
            <w:shd w:val="clear" w:color="auto" w:fill="DEEBF6"/>
            <w:tcMar>
              <w:left w:w="108" w:type="dxa"/>
              <w:right w:w="108" w:type="dxa"/>
            </w:tcMar>
            <w:vAlign w:val="top"/>
          </w:tcPr>
          <w:p w:rsidR="22C03B56" w:rsidP="22C03B56" w:rsidRDefault="22C03B56" w14:paraId="4C559361" w14:textId="59832336">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4"/>
                <w:szCs w:val="24"/>
                <w:u w:val="none"/>
              </w:rPr>
              <w:t>2.46</w:t>
            </w:r>
          </w:p>
        </w:tc>
        <w:tc>
          <w:tcPr>
            <w:tcW w:w="3120" w:type="dxa"/>
            <w:tcBorders>
              <w:top w:val="single" w:color="000000" w:themeColor="text1" w:sz="4"/>
              <w:left w:val="single" w:color="000000" w:themeColor="text1" w:sz="4"/>
              <w:bottom w:val="single" w:color="000000" w:themeColor="text1" w:sz="4"/>
              <w:right w:val="single" w:color="000000" w:themeColor="text1" w:sz="4"/>
            </w:tcBorders>
            <w:shd w:val="clear" w:color="auto" w:fill="EDEDED" w:themeFill="accent3" w:themeFillTint="33"/>
            <w:tcMar>
              <w:left w:w="108" w:type="dxa"/>
              <w:right w:w="108" w:type="dxa"/>
            </w:tcMar>
            <w:vAlign w:val="top"/>
          </w:tcPr>
          <w:p w:rsidR="22C03B56" w:rsidP="22C03B56" w:rsidRDefault="22C03B56" w14:paraId="480C9312" w14:textId="199528A0">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4"/>
                <w:szCs w:val="24"/>
                <w:u w:val="none"/>
              </w:rPr>
              <w:t>2.84</w:t>
            </w:r>
          </w:p>
        </w:tc>
      </w:tr>
      <w:tr w:rsidR="22C03B56" w:rsidTr="22C03B56" w14:paraId="71B1B5D2">
        <w:trPr>
          <w:trHeight w:val="300"/>
        </w:trPr>
        <w:tc>
          <w:tcPr>
            <w:tcW w:w="3120" w:type="dxa"/>
            <w:tcBorders>
              <w:top w:val="single" w:color="000000" w:themeColor="text1" w:sz="4"/>
              <w:left w:val="single" w:color="000000" w:themeColor="text1" w:sz="4"/>
              <w:bottom w:val="single" w:color="000000" w:themeColor="text1" w:sz="4"/>
              <w:right w:val="single" w:color="000000" w:themeColor="text1" w:sz="4"/>
            </w:tcBorders>
            <w:tcMar>
              <w:left w:w="108" w:type="dxa"/>
              <w:right w:w="108" w:type="dxa"/>
            </w:tcMar>
            <w:vAlign w:val="top"/>
          </w:tcPr>
          <w:p w:rsidR="22C03B56" w:rsidP="22C03B56" w:rsidRDefault="22C03B56" w14:paraId="130A5D86" w14:textId="12C8BDB3">
            <w:pPr>
              <w:spacing w:before="0" w:beforeAutospacing="off" w:after="0" w:afterAutospacing="off"/>
            </w:pPr>
            <w:r w:rsidRPr="22C03B56" w:rsidR="22C03B56">
              <w:rPr>
                <w:rFonts w:ascii="Times New Roman" w:hAnsi="Times New Roman" w:eastAsia="Times New Roman" w:cs="Times New Roman"/>
                <w:b w:val="1"/>
                <w:bCs w:val="1"/>
                <w:i w:val="0"/>
                <w:iCs w:val="0"/>
                <w:strike w:val="0"/>
                <w:dstrike w:val="0"/>
                <w:color w:val="000000" w:themeColor="text1" w:themeTint="FF" w:themeShade="FF"/>
                <w:sz w:val="24"/>
                <w:szCs w:val="24"/>
                <w:u w:val="none"/>
              </w:rPr>
              <w:t>Dispositions</w:t>
            </w:r>
          </w:p>
        </w:tc>
        <w:tc>
          <w:tcPr>
            <w:tcW w:w="3120" w:type="dxa"/>
            <w:tcBorders>
              <w:top w:val="single" w:color="000000" w:themeColor="text1" w:sz="4"/>
              <w:left w:val="single" w:color="000000" w:themeColor="text1" w:sz="4"/>
              <w:bottom w:val="single" w:color="000000" w:themeColor="text1" w:sz="4"/>
              <w:right w:val="single" w:color="000000" w:themeColor="text1" w:sz="4"/>
            </w:tcBorders>
            <w:shd w:val="clear" w:color="auto" w:fill="DEEBF6"/>
            <w:tcMar>
              <w:left w:w="108" w:type="dxa"/>
              <w:right w:w="108" w:type="dxa"/>
            </w:tcMar>
            <w:vAlign w:val="top"/>
          </w:tcPr>
          <w:p w:rsidR="22C03B56" w:rsidP="22C03B56" w:rsidRDefault="22C03B56" w14:paraId="4C2B39C1" w14:textId="175129B1">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4"/>
                <w:szCs w:val="24"/>
                <w:u w:val="none"/>
              </w:rPr>
              <w:t>2.60</w:t>
            </w:r>
          </w:p>
        </w:tc>
        <w:tc>
          <w:tcPr>
            <w:tcW w:w="3120" w:type="dxa"/>
            <w:tcBorders>
              <w:top w:val="single" w:color="000000" w:themeColor="text1" w:sz="4"/>
              <w:left w:val="single" w:color="000000" w:themeColor="text1" w:sz="4"/>
              <w:bottom w:val="single" w:color="000000" w:themeColor="text1" w:sz="4"/>
              <w:right w:val="single" w:color="000000" w:themeColor="text1" w:sz="4"/>
            </w:tcBorders>
            <w:shd w:val="clear" w:color="auto" w:fill="EDEDED" w:themeFill="accent3" w:themeFillTint="33"/>
            <w:tcMar>
              <w:left w:w="108" w:type="dxa"/>
              <w:right w:w="108" w:type="dxa"/>
            </w:tcMar>
            <w:vAlign w:val="top"/>
          </w:tcPr>
          <w:p w:rsidR="22C03B56" w:rsidP="22C03B56" w:rsidRDefault="22C03B56" w14:paraId="5C28206E" w14:textId="7C9571F2">
            <w:pPr>
              <w:spacing w:before="0" w:beforeAutospacing="off" w:after="0" w:afterAutospacing="off"/>
            </w:pPr>
            <w:r w:rsidRPr="22C03B56" w:rsidR="22C03B56">
              <w:rPr>
                <w:rFonts w:ascii="Times New Roman" w:hAnsi="Times New Roman" w:eastAsia="Times New Roman" w:cs="Times New Roman"/>
                <w:b w:val="0"/>
                <w:bCs w:val="0"/>
                <w:i w:val="0"/>
                <w:iCs w:val="0"/>
                <w:strike w:val="0"/>
                <w:dstrike w:val="0"/>
                <w:color w:val="000000" w:themeColor="text1" w:themeTint="FF" w:themeShade="FF"/>
                <w:sz w:val="24"/>
                <w:szCs w:val="24"/>
                <w:u w:val="none"/>
              </w:rPr>
              <w:t>2.9</w:t>
            </w:r>
          </w:p>
        </w:tc>
      </w:tr>
    </w:tbl>
    <w:p w:rsidR="49E1587B" w:rsidP="22C03B56" w:rsidRDefault="49E1587B" w14:paraId="1DB0D8D4" w14:textId="0BAF2D15">
      <w:pPr>
        <w:spacing w:before="0" w:beforeAutospacing="off" w:after="0" w:afterAutospacing="off"/>
        <w:jc w:val="left"/>
      </w:pPr>
      <w:r w:rsidRPr="22C03B56" w:rsidR="49E1587B">
        <w:rPr>
          <w:rFonts w:ascii="Times New Roman" w:hAnsi="Times New Roman" w:eastAsia="Times New Roman" w:cs="Times New Roman"/>
          <w:b w:val="0"/>
          <w:bCs w:val="0"/>
          <w:i w:val="0"/>
          <w:iCs w:val="0"/>
          <w:strike w:val="0"/>
          <w:dstrike w:val="0"/>
          <w:noProof w:val="0"/>
          <w:color w:val="000000" w:themeColor="text1" w:themeTint="FF" w:themeShade="FF"/>
          <w:sz w:val="22"/>
          <w:szCs w:val="22"/>
          <w:u w:val="none"/>
          <w:lang w:val="en-US"/>
        </w:rPr>
        <w:t xml:space="preserve"> </w:t>
      </w:r>
    </w:p>
    <w:p w:rsidR="22C03B56" w:rsidP="22C03B56" w:rsidRDefault="22C03B56" w14:paraId="7C552E38" w14:textId="57E2BD40">
      <w:pPr>
        <w:jc w:val="left"/>
      </w:pPr>
    </w:p>
    <w:p w:rsidR="22C03B56" w:rsidP="22C03B56" w:rsidRDefault="22C03B56" w14:paraId="745E997C" w14:textId="09FB456B">
      <w:pPr>
        <w:pStyle w:val="Normal"/>
        <w:jc w:val="left"/>
        <w:rPr>
          <w:rFonts w:ascii="Times New Roman" w:hAnsi="Times New Roman" w:eastAsia="Times New Roman" w:cs="Times New Roman"/>
          <w:b w:val="1"/>
          <w:bCs w:val="1"/>
          <w:sz w:val="24"/>
          <w:szCs w:val="24"/>
        </w:rPr>
      </w:pPr>
    </w:p>
    <w:p w:rsidR="0FC7F074" w:rsidP="22C03B56" w:rsidRDefault="0FC7F074" w14:paraId="405CE5F7" w14:textId="6826555A">
      <w:pPr>
        <w:pStyle w:val="Normal"/>
        <w:jc w:val="left"/>
        <w:rPr>
          <w:rFonts w:ascii="Times New Roman" w:hAnsi="Times New Roman" w:eastAsia="Times New Roman" w:cs="Times New Roman"/>
          <w:b w:val="1"/>
          <w:bCs w:val="1"/>
          <w:sz w:val="24"/>
          <w:szCs w:val="24"/>
        </w:rPr>
      </w:pPr>
      <w:r w:rsidRPr="22C03B56" w:rsidR="0FC7F074">
        <w:rPr>
          <w:rFonts w:ascii="Times New Roman" w:hAnsi="Times New Roman" w:eastAsia="Times New Roman" w:cs="Times New Roman"/>
          <w:b w:val="1"/>
          <w:bCs w:val="1"/>
          <w:sz w:val="24"/>
          <w:szCs w:val="24"/>
        </w:rPr>
        <w:t xml:space="preserve">Measure 4: Ability of Completers to be hired </w:t>
      </w:r>
    </w:p>
    <w:p w:rsidR="59CA05DD" w:rsidP="22C03B56" w:rsidRDefault="59CA05DD" w14:paraId="02593C2E" w14:textId="22942538">
      <w:pPr>
        <w:pStyle w:val="Normal"/>
        <w:jc w:val="left"/>
        <w:rPr>
          <w:rFonts w:ascii="Times New Roman" w:hAnsi="Times New Roman" w:eastAsia="Times New Roman" w:cs="Times New Roman"/>
          <w:b w:val="1"/>
          <w:bCs w:val="1"/>
          <w:sz w:val="24"/>
          <w:szCs w:val="24"/>
        </w:rPr>
      </w:pPr>
      <w:r w:rsidRPr="22C03B56" w:rsidR="59CA05DD">
        <w:rPr>
          <w:rFonts w:ascii="Times New Roman" w:hAnsi="Times New Roman" w:eastAsia="Times New Roman" w:cs="Times New Roman"/>
          <w:noProof w:val="0"/>
          <w:color w:val="000000" w:themeColor="text1" w:themeTint="FF" w:themeShade="FF"/>
          <w:sz w:val="24"/>
          <w:szCs w:val="24"/>
          <w:lang w:val="en-US"/>
        </w:rPr>
        <w:t>The following table provides employment rates of our completers which demonstrates that our candidates can meet licensing (certification) and any additional state requirements in order to become employed.</w:t>
      </w:r>
      <w:r w:rsidRPr="22C03B56" w:rsidR="59CA05DD">
        <w:rPr>
          <w:rFonts w:ascii="Times New Roman" w:hAnsi="Times New Roman" w:eastAsia="Times New Roman" w:cs="Times New Roman"/>
          <w:noProof w:val="0"/>
          <w:color w:val="000000" w:themeColor="text1" w:themeTint="FF" w:themeShade="FF"/>
          <w:sz w:val="24"/>
          <w:szCs w:val="24"/>
          <w:lang w:val="en-US"/>
        </w:rPr>
        <w:t xml:space="preserve"> The program goal is that all graduates be employed in their licensure area or enrolled in graduate school within six months following graduation.</w:t>
      </w:r>
    </w:p>
    <w:tbl>
      <w:tblPr>
        <w:tblStyle w:val="TableNormal"/>
        <w:tblW w:w="0" w:type="auto"/>
        <w:tblInd w:w="135" w:type="dxa"/>
        <w:tblLayout w:type="fixed"/>
        <w:tblLook w:val="0400" w:firstRow="0" w:lastRow="0" w:firstColumn="0" w:lastColumn="0" w:noHBand="0" w:noVBand="1"/>
      </w:tblPr>
      <w:tblGrid>
        <w:gridCol w:w="2340"/>
        <w:gridCol w:w="2340"/>
        <w:gridCol w:w="2340"/>
        <w:gridCol w:w="2340"/>
      </w:tblGrid>
      <w:tr w:rsidR="22C03B56" w:rsidTr="22C03B56" w14:paraId="47217936">
        <w:trPr>
          <w:trHeight w:val="300"/>
        </w:trPr>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E7E6E6" w:themeFill="background2"/>
            <w:tcMar>
              <w:left w:w="108" w:type="dxa"/>
              <w:right w:w="108" w:type="dxa"/>
            </w:tcMar>
            <w:vAlign w:val="top"/>
          </w:tcPr>
          <w:p w:rsidR="22C03B56" w:rsidP="22C03B56" w:rsidRDefault="22C03B56" w14:paraId="50A0BF08" w14:textId="2CA88E6F">
            <w:pPr>
              <w:spacing w:before="0" w:beforeAutospacing="off" w:after="80" w:afterAutospacing="off"/>
              <w:jc w:val="center"/>
            </w:pPr>
            <w:r w:rsidRPr="22C03B56" w:rsidR="22C03B56">
              <w:rPr>
                <w:rFonts w:ascii="Times New Roman" w:hAnsi="Times New Roman" w:eastAsia="Times New Roman" w:cs="Times New Roman"/>
                <w:b w:val="1"/>
                <w:bCs w:val="1"/>
                <w:color w:val="000000" w:themeColor="text1" w:themeTint="FF" w:themeShade="FF"/>
                <w:sz w:val="24"/>
                <w:szCs w:val="24"/>
              </w:rPr>
              <w:t>Year</w:t>
            </w: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E7E6E6" w:themeFill="background2"/>
            <w:tcMar>
              <w:left w:w="108" w:type="dxa"/>
              <w:right w:w="108" w:type="dxa"/>
            </w:tcMar>
            <w:vAlign w:val="top"/>
          </w:tcPr>
          <w:p w:rsidR="22C03B56" w:rsidP="22C03B56" w:rsidRDefault="22C03B56" w14:paraId="2416344A" w14:textId="4005E1D4">
            <w:pPr>
              <w:spacing w:before="0" w:beforeAutospacing="off" w:after="80" w:afterAutospacing="off"/>
              <w:jc w:val="center"/>
            </w:pPr>
            <w:r w:rsidRPr="22C03B56" w:rsidR="22C03B56">
              <w:rPr>
                <w:rFonts w:ascii="Times New Roman" w:hAnsi="Times New Roman" w:eastAsia="Times New Roman" w:cs="Times New Roman"/>
                <w:b w:val="1"/>
                <w:bCs w:val="1"/>
                <w:color w:val="000000" w:themeColor="text1" w:themeTint="FF" w:themeShade="FF"/>
                <w:sz w:val="24"/>
                <w:szCs w:val="24"/>
              </w:rPr>
              <w:t>Job Placement Rate</w:t>
            </w: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E7E6E6" w:themeFill="background2"/>
            <w:tcMar>
              <w:left w:w="108" w:type="dxa"/>
              <w:right w:w="108" w:type="dxa"/>
            </w:tcMar>
            <w:vAlign w:val="top"/>
          </w:tcPr>
          <w:p w:rsidR="22C03B56" w:rsidP="22C03B56" w:rsidRDefault="22C03B56" w14:paraId="6AD8FBB9" w14:textId="65489F5A">
            <w:pPr>
              <w:spacing w:before="0" w:beforeAutospacing="off" w:after="80" w:afterAutospacing="off"/>
              <w:jc w:val="center"/>
            </w:pPr>
            <w:r w:rsidRPr="22C03B56" w:rsidR="22C03B56">
              <w:rPr>
                <w:rFonts w:ascii="Times New Roman" w:hAnsi="Times New Roman" w:eastAsia="Times New Roman" w:cs="Times New Roman"/>
                <w:b w:val="1"/>
                <w:bCs w:val="1"/>
                <w:color w:val="000000" w:themeColor="text1" w:themeTint="FF" w:themeShade="FF"/>
                <w:sz w:val="24"/>
                <w:szCs w:val="24"/>
              </w:rPr>
              <w:t>Graduate School Rate</w:t>
            </w: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E7E6E6" w:themeFill="background2"/>
            <w:tcMar>
              <w:left w:w="108" w:type="dxa"/>
              <w:right w:w="108" w:type="dxa"/>
            </w:tcMar>
            <w:vAlign w:val="top"/>
          </w:tcPr>
          <w:p w:rsidR="22C03B56" w:rsidP="22C03B56" w:rsidRDefault="22C03B56" w14:paraId="1297233C" w14:textId="16416F96">
            <w:pPr>
              <w:spacing w:before="0" w:beforeAutospacing="off" w:after="80" w:afterAutospacing="off"/>
              <w:jc w:val="center"/>
            </w:pPr>
            <w:r w:rsidRPr="22C03B56" w:rsidR="22C03B56">
              <w:rPr>
                <w:rFonts w:ascii="Times New Roman" w:hAnsi="Times New Roman" w:eastAsia="Times New Roman" w:cs="Times New Roman"/>
                <w:b w:val="1"/>
                <w:bCs w:val="1"/>
                <w:color w:val="000000" w:themeColor="text1" w:themeTint="FF" w:themeShade="FF"/>
                <w:sz w:val="24"/>
                <w:szCs w:val="24"/>
              </w:rPr>
              <w:t>Other</w:t>
            </w:r>
          </w:p>
        </w:tc>
      </w:tr>
      <w:tr w:rsidR="22C03B56" w:rsidTr="22C03B56" w14:paraId="2D1A1925">
        <w:trPr>
          <w:trHeight w:val="300"/>
        </w:trPr>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0634F42E" w:rsidP="22C03B56" w:rsidRDefault="0634F42E" w14:paraId="0A6AB3C6" w14:textId="2D3EC570">
            <w:pPr>
              <w:pStyle w:val="Normal"/>
              <w:jc w:val="left"/>
              <w:rPr>
                <w:rFonts w:ascii="Times New Roman" w:hAnsi="Times New Roman" w:eastAsia="Times New Roman" w:cs="Times New Roman"/>
                <w:b w:val="0"/>
                <w:bCs w:val="0"/>
                <w:color w:val="000000" w:themeColor="text1" w:themeTint="FF" w:themeShade="FF"/>
                <w:sz w:val="22"/>
                <w:szCs w:val="22"/>
              </w:rPr>
            </w:pPr>
            <w:r w:rsidRPr="22C03B56" w:rsidR="0634F42E">
              <w:rPr>
                <w:rFonts w:ascii="Times New Roman" w:hAnsi="Times New Roman" w:eastAsia="Times New Roman" w:cs="Times New Roman"/>
                <w:b w:val="0"/>
                <w:bCs w:val="0"/>
                <w:color w:val="000000" w:themeColor="text1" w:themeTint="FF" w:themeShade="FF"/>
                <w:sz w:val="22"/>
                <w:szCs w:val="22"/>
              </w:rPr>
              <w:t>2021-2022</w:t>
            </w: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0634F42E" w:rsidP="22C03B56" w:rsidRDefault="0634F42E" w14:paraId="0FBC3D67" w14:textId="637DF589">
            <w:pPr>
              <w:pStyle w:val="Normal"/>
              <w:jc w:val="left"/>
              <w:rPr>
                <w:rFonts w:ascii="Times New Roman" w:hAnsi="Times New Roman" w:eastAsia="Times New Roman" w:cs="Times New Roman"/>
                <w:b w:val="0"/>
                <w:bCs w:val="0"/>
                <w:color w:val="000000" w:themeColor="text1" w:themeTint="FF" w:themeShade="FF"/>
                <w:sz w:val="22"/>
                <w:szCs w:val="22"/>
              </w:rPr>
            </w:pPr>
            <w:r w:rsidRPr="22C03B56" w:rsidR="0634F42E">
              <w:rPr>
                <w:rFonts w:ascii="Times New Roman" w:hAnsi="Times New Roman" w:eastAsia="Times New Roman" w:cs="Times New Roman"/>
                <w:b w:val="0"/>
                <w:bCs w:val="0"/>
                <w:color w:val="000000" w:themeColor="text1" w:themeTint="FF" w:themeShade="FF"/>
                <w:sz w:val="22"/>
                <w:szCs w:val="22"/>
              </w:rPr>
              <w:t>100%</w:t>
            </w: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22C03B56" w:rsidP="22C03B56" w:rsidRDefault="22C03B56" w14:paraId="32ABA83B" w14:textId="775D6D6F">
            <w:pPr>
              <w:pStyle w:val="Normal"/>
              <w:jc w:val="center"/>
              <w:rPr>
                <w:rFonts w:ascii="Times New Roman" w:hAnsi="Times New Roman" w:eastAsia="Times New Roman" w:cs="Times New Roman"/>
                <w:b w:val="0"/>
                <w:bCs w:val="0"/>
                <w:color w:val="000000" w:themeColor="text1" w:themeTint="FF" w:themeShade="FF"/>
                <w:sz w:val="22"/>
                <w:szCs w:val="22"/>
              </w:rPr>
            </w:pP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22C03B56" w:rsidP="22C03B56" w:rsidRDefault="22C03B56" w14:paraId="13FC675A" w14:textId="5FB6EC08">
            <w:pPr>
              <w:pStyle w:val="Normal"/>
              <w:jc w:val="center"/>
              <w:rPr>
                <w:rFonts w:ascii="Times New Roman" w:hAnsi="Times New Roman" w:eastAsia="Times New Roman" w:cs="Times New Roman"/>
                <w:b w:val="0"/>
                <w:bCs w:val="0"/>
                <w:color w:val="000000" w:themeColor="text1" w:themeTint="FF" w:themeShade="FF"/>
                <w:sz w:val="22"/>
                <w:szCs w:val="22"/>
              </w:rPr>
            </w:pPr>
          </w:p>
        </w:tc>
      </w:tr>
      <w:tr w:rsidR="22C03B56" w:rsidTr="22C03B56" w14:paraId="36A8D77A">
        <w:trPr>
          <w:trHeight w:val="300"/>
        </w:trPr>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09FEE09C" w14:textId="74F032B8">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2020-2021</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77E13F60" w14:textId="1079B5ED">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100%</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4195F367" w14:textId="623CF0F0">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 xml:space="preserve"> </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46673B78" w14:textId="674BD527">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 xml:space="preserve"> </w:t>
            </w:r>
          </w:p>
        </w:tc>
      </w:tr>
      <w:tr w:rsidR="22C03B56" w:rsidTr="22C03B56" w14:paraId="351F8189">
        <w:trPr>
          <w:trHeight w:val="300"/>
        </w:trPr>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3BD62B4D" w14:textId="7E8E9F21">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2019-2020</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31C72DEF" w14:textId="7667C737">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87.5%</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4B895F86" w14:textId="0816E51E">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0%</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279A8D2E" w14:textId="751C4E62">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 xml:space="preserve">12% military </w:t>
            </w:r>
          </w:p>
        </w:tc>
      </w:tr>
      <w:tr w:rsidR="22C03B56" w:rsidTr="22C03B56" w14:paraId="3E7E1C7C">
        <w:trPr>
          <w:trHeight w:val="300"/>
        </w:trPr>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5A36FAC6" w14:textId="2B1A4A75">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2019-2018</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206F8DF2" w14:textId="35D56B18">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88.89%</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0BC1A0E8" w14:textId="7A51FF34">
            <w:pPr>
              <w:spacing w:before="0" w:beforeAutospacing="off" w:after="80" w:afterAutospacing="off"/>
            </w:pPr>
            <w:r w:rsidRPr="22C03B56" w:rsidR="22C03B56">
              <w:rPr>
                <w:rFonts w:ascii="Times New Roman" w:hAnsi="Times New Roman" w:eastAsia="Times New Roman" w:cs="Times New Roman"/>
                <w:color w:val="000000" w:themeColor="text1" w:themeTint="FF" w:themeShade="FF"/>
                <w:sz w:val="24"/>
                <w:szCs w:val="24"/>
              </w:rPr>
              <w:t>0%</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22C03B56" w:rsidP="22C03B56" w:rsidRDefault="22C03B56" w14:paraId="0D0F1293" w14:textId="3E0E2850">
            <w:pPr>
              <w:spacing w:before="0" w:beforeAutospacing="off" w:after="80" w:afterAutospacing="off"/>
              <w:rPr>
                <w:rFonts w:ascii="Times New Roman" w:hAnsi="Times New Roman" w:eastAsia="Times New Roman" w:cs="Times New Roman"/>
                <w:color w:val="000000" w:themeColor="text1" w:themeTint="FF" w:themeShade="FF"/>
                <w:sz w:val="24"/>
                <w:szCs w:val="24"/>
              </w:rPr>
            </w:pPr>
          </w:p>
        </w:tc>
      </w:tr>
    </w:tbl>
    <w:p w:rsidR="22C03B56" w:rsidP="22C03B56" w:rsidRDefault="22C03B56" w14:paraId="5986B747" w14:textId="4B9ED7D8">
      <w:pPr>
        <w:pStyle w:val="Normal"/>
        <w:jc w:val="left"/>
        <w:rPr>
          <w:rFonts w:ascii="Times New Roman" w:hAnsi="Times New Roman" w:eastAsia="Times New Roman" w:cs="Times New Roman"/>
          <w:b w:val="1"/>
          <w:bCs w:val="1"/>
          <w:sz w:val="24"/>
          <w:szCs w:val="24"/>
        </w:rPr>
      </w:pPr>
    </w:p>
    <w:p w:rsidR="22C03B56" w:rsidP="22C03B56" w:rsidRDefault="22C03B56" w14:paraId="7C035478" w14:textId="723219BD">
      <w:pPr>
        <w:pStyle w:val="Normal"/>
        <w:jc w:val="left"/>
      </w:pPr>
    </w:p>
    <w:p w:rsidR="22C03B56" w:rsidP="22C03B56" w:rsidRDefault="22C03B56" w14:paraId="74FDC23F" w14:textId="513F8F32">
      <w:pPr>
        <w:jc w:val="left"/>
      </w:pPr>
    </w:p>
    <w:p w:rsidR="22C03B56" w:rsidP="22C03B56" w:rsidRDefault="22C03B56" w14:paraId="5B6C9178" w14:textId="0C7E948A">
      <w:pPr>
        <w:pStyle w:val="Normal"/>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22C03B56" w:rsidP="22C03B56" w:rsidRDefault="22C03B56" w14:paraId="01DCD1E9" w14:textId="7957394D">
      <w:pPr>
        <w:pStyle w:val="Normal"/>
        <w:jc w:val="left"/>
        <w:rPr>
          <w:rFonts w:ascii="Times New Roman" w:hAnsi="Times New Roman" w:eastAsia="Times New Roman" w:cs="Times New Roman"/>
          <w:sz w:val="24"/>
          <w:szCs w:val="24"/>
        </w:rPr>
      </w:pPr>
    </w:p>
    <w:p w:rsidR="22C03B56" w:rsidP="22C03B56" w:rsidRDefault="22C03B56" w14:paraId="64280DAA" w14:textId="1439F90E">
      <w:pPr>
        <w:pStyle w:val="Normal"/>
        <w:jc w:val="left"/>
        <w:rPr>
          <w:rFonts w:ascii="Times New Roman" w:hAnsi="Times New Roman" w:eastAsia="Times New Roman" w:cs="Times New Roman"/>
          <w:sz w:val="24"/>
          <w:szCs w:val="24"/>
        </w:rPr>
      </w:pPr>
    </w:p>
    <w:p w:rsidR="22C03B56" w:rsidP="22C03B56" w:rsidRDefault="22C03B56" w14:paraId="002DD46A" w14:textId="2AEF455B">
      <w:pPr>
        <w:pStyle w:val="Normal"/>
        <w:jc w:val="left"/>
        <w:rPr>
          <w:rFonts w:ascii="Times New Roman" w:hAnsi="Times New Roman" w:eastAsia="Times New Roman" w:cs="Times New Roman"/>
          <w:sz w:val="24"/>
          <w:szCs w:val="24"/>
        </w:rPr>
      </w:pPr>
    </w:p>
    <w:p w:rsidR="22C03B56" w:rsidP="22C03B56" w:rsidRDefault="22C03B56" w14:paraId="0C80FE16" w14:textId="59080228">
      <w:pPr>
        <w:pStyle w:val="Normal"/>
        <w:jc w:val="left"/>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b06d8b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F48CD"/>
    <w:rsid w:val="010F48CD"/>
    <w:rsid w:val="0254C916"/>
    <w:rsid w:val="03BA41FF"/>
    <w:rsid w:val="04436772"/>
    <w:rsid w:val="059847AB"/>
    <w:rsid w:val="059847AB"/>
    <w:rsid w:val="05FF2863"/>
    <w:rsid w:val="0634F42E"/>
    <w:rsid w:val="079AF8C4"/>
    <w:rsid w:val="099CA641"/>
    <w:rsid w:val="0F4F5AD9"/>
    <w:rsid w:val="0FC7F074"/>
    <w:rsid w:val="14671526"/>
    <w:rsid w:val="14797BCC"/>
    <w:rsid w:val="17A17CE5"/>
    <w:rsid w:val="18D664F7"/>
    <w:rsid w:val="18D664F7"/>
    <w:rsid w:val="18EDF9BD"/>
    <w:rsid w:val="1A4A5E4B"/>
    <w:rsid w:val="1ACDAB8A"/>
    <w:rsid w:val="1B9520DC"/>
    <w:rsid w:val="1D455ED5"/>
    <w:rsid w:val="1D83E127"/>
    <w:rsid w:val="1FCBBE37"/>
    <w:rsid w:val="1FCDCA62"/>
    <w:rsid w:val="213441EE"/>
    <w:rsid w:val="228DF62F"/>
    <w:rsid w:val="22C03B56"/>
    <w:rsid w:val="23C999D6"/>
    <w:rsid w:val="23C999D6"/>
    <w:rsid w:val="252A5A5F"/>
    <w:rsid w:val="2531213F"/>
    <w:rsid w:val="2531213F"/>
    <w:rsid w:val="2537485D"/>
    <w:rsid w:val="2699D2E1"/>
    <w:rsid w:val="26CCF1A0"/>
    <w:rsid w:val="26D318BE"/>
    <w:rsid w:val="26D318BE"/>
    <w:rsid w:val="27644E61"/>
    <w:rsid w:val="2A37EAD1"/>
    <w:rsid w:val="2A3DAB4F"/>
    <w:rsid w:val="2FB69EE2"/>
    <w:rsid w:val="3300FEC2"/>
    <w:rsid w:val="333C1121"/>
    <w:rsid w:val="38BFEC3E"/>
    <w:rsid w:val="3B6C659A"/>
    <w:rsid w:val="4444D34D"/>
    <w:rsid w:val="44A25A26"/>
    <w:rsid w:val="45C3454A"/>
    <w:rsid w:val="47E6A333"/>
    <w:rsid w:val="4904166B"/>
    <w:rsid w:val="49CD90A6"/>
    <w:rsid w:val="49E1587B"/>
    <w:rsid w:val="4B3B957C"/>
    <w:rsid w:val="4E4B02D4"/>
    <w:rsid w:val="4F2C292F"/>
    <w:rsid w:val="4FE6D335"/>
    <w:rsid w:val="515E5773"/>
    <w:rsid w:val="54148D10"/>
    <w:rsid w:val="54F53F05"/>
    <w:rsid w:val="58F6417A"/>
    <w:rsid w:val="59A8D616"/>
    <w:rsid w:val="59CA05DD"/>
    <w:rsid w:val="5AEC16D1"/>
    <w:rsid w:val="5B49766C"/>
    <w:rsid w:val="5E81172E"/>
    <w:rsid w:val="601CE78F"/>
    <w:rsid w:val="61B8B7F0"/>
    <w:rsid w:val="6258D2CB"/>
    <w:rsid w:val="64F058B2"/>
    <w:rsid w:val="65AB02B8"/>
    <w:rsid w:val="65AB02B8"/>
    <w:rsid w:val="69C3C9D5"/>
    <w:rsid w:val="69E8DACC"/>
    <w:rsid w:val="6A849AF9"/>
    <w:rsid w:val="6B5F9A36"/>
    <w:rsid w:val="6B6787BC"/>
    <w:rsid w:val="70F3DC7D"/>
    <w:rsid w:val="717969A5"/>
    <w:rsid w:val="73153A06"/>
    <w:rsid w:val="761F12FD"/>
    <w:rsid w:val="761F12FD"/>
    <w:rsid w:val="76F3EF7D"/>
    <w:rsid w:val="7730E9A3"/>
    <w:rsid w:val="7943115A"/>
    <w:rsid w:val="7AF3803F"/>
    <w:rsid w:val="7F6FF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48CD"/>
  <w15:chartTrackingRefBased/>
  <w15:docId w15:val="{DEF4C405-36C3-47B4-B0D5-AD2D2B7F9F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37ca175d28ae44b5" /><Relationship Type="http://schemas.openxmlformats.org/officeDocument/2006/relationships/numbering" Target="numbering.xml" Id="R909e5a54491a40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2023-12-15T01:16:14.4860677Z</dcterms:created>
  <dcterms:modified xsi:type="dcterms:W3CDTF">2023-12-18T13:09:09.9938617Z</dcterms:modified>
  <dc:creator>Gribble, Melanie R</dc:creator>
  <lastModifiedBy>Gribble, Melanie R</lastModifiedBy>
</coreProperties>
</file>